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6" w:rsidRPr="002C0A16" w:rsidRDefault="002C0A16" w:rsidP="002C0A16">
      <w:pPr>
        <w:spacing w:after="0" w:line="312" w:lineRule="atLeast"/>
        <w:textAlignment w:val="baseline"/>
        <w:outlineLvl w:val="0"/>
        <w:rPr>
          <w:rFonts w:ascii="inherit" w:eastAsia="Times New Roman" w:hAnsi="inherit" w:cs="Times New Roman"/>
          <w:color w:val="C12233"/>
          <w:spacing w:val="-7"/>
          <w:kern w:val="36"/>
          <w:sz w:val="30"/>
          <w:szCs w:val="30"/>
        </w:rPr>
      </w:pPr>
      <w:r w:rsidRPr="002C0A16">
        <w:rPr>
          <w:rFonts w:ascii="inherit" w:eastAsia="Times New Roman" w:hAnsi="inherit" w:cs="Times New Roman"/>
          <w:color w:val="C12233"/>
          <w:spacing w:val="-7"/>
          <w:kern w:val="36"/>
          <w:sz w:val="30"/>
          <w:szCs w:val="30"/>
        </w:rPr>
        <w:t>Состоялся первый республиканский ФОРУМ ТОС-2012</w:t>
      </w:r>
    </w:p>
    <w:p w:rsidR="002C0A16" w:rsidRPr="002C0A16" w:rsidRDefault="002C0A16" w:rsidP="002C0A16">
      <w:pPr>
        <w:shd w:val="clear" w:color="auto" w:fill="F9F9F9"/>
        <w:spacing w:after="0" w:line="300" w:lineRule="atLeast"/>
        <w:textAlignment w:val="baseline"/>
        <w:rPr>
          <w:rFonts w:ascii="inherit" w:eastAsia="Times New Roman" w:hAnsi="inherit" w:cs="Times New Roman"/>
          <w:color w:val="C12233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C12233"/>
          <w:sz w:val="18"/>
        </w:rPr>
        <w:t>Опубликовано </w:t>
      </w:r>
      <w:hyperlink r:id="rId4" w:tooltip="8:42 дп" w:history="1">
        <w:r w:rsidRPr="002C0A16">
          <w:rPr>
            <w:rFonts w:ascii="inherit" w:eastAsia="Times New Roman" w:hAnsi="inherit" w:cs="Times New Roman"/>
            <w:color w:val="C12233"/>
            <w:sz w:val="18"/>
          </w:rPr>
          <w:t>Ноябрь 20, 2012</w:t>
        </w:r>
      </w:hyperlink>
      <w:r w:rsidRPr="002C0A16">
        <w:rPr>
          <w:rFonts w:ascii="inherit" w:eastAsia="Times New Roman" w:hAnsi="inherit" w:cs="Times New Roman"/>
          <w:color w:val="C12233"/>
          <w:sz w:val="18"/>
        </w:rPr>
        <w:t> </w:t>
      </w:r>
      <w:r w:rsidRPr="002C0A16">
        <w:rPr>
          <w:rFonts w:ascii="inherit" w:eastAsia="Times New Roman" w:hAnsi="inherit" w:cs="Times New Roman"/>
          <w:color w:val="C12233"/>
          <w:sz w:val="18"/>
          <w:szCs w:val="18"/>
        </w:rPr>
        <w:t>|</w:t>
      </w:r>
      <w:r w:rsidRPr="002C0A16">
        <w:rPr>
          <w:rFonts w:ascii="inherit" w:eastAsia="Times New Roman" w:hAnsi="inherit" w:cs="Times New Roman"/>
          <w:color w:val="C12233"/>
          <w:sz w:val="18"/>
        </w:rPr>
        <w:t> Автор: </w:t>
      </w:r>
      <w:hyperlink r:id="rId5" w:tooltip="View all posts by admin" w:history="1">
        <w:proofErr w:type="spellStart"/>
        <w:r w:rsidRPr="002C0A16">
          <w:rPr>
            <w:rFonts w:ascii="inherit" w:eastAsia="Times New Roman" w:hAnsi="inherit" w:cs="Times New Roman"/>
            <w:color w:val="C12233"/>
            <w:sz w:val="18"/>
            <w:u w:val="single"/>
          </w:rPr>
          <w:t>admin</w:t>
        </w:r>
      </w:hyperlink>
      <w:r w:rsidRPr="002C0A16">
        <w:rPr>
          <w:rFonts w:ascii="inherit" w:eastAsia="Times New Roman" w:hAnsi="inherit" w:cs="Times New Roman"/>
          <w:color w:val="C12233"/>
          <w:sz w:val="18"/>
        </w:rPr>
        <w:t>|</w:t>
      </w:r>
      <w:proofErr w:type="spellEnd"/>
      <w:r w:rsidRPr="002C0A16">
        <w:rPr>
          <w:rFonts w:ascii="inherit" w:eastAsia="Times New Roman" w:hAnsi="inherit" w:cs="Times New Roman"/>
          <w:color w:val="C12233"/>
          <w:sz w:val="18"/>
        </w:rPr>
        <w:t> </w:t>
      </w:r>
      <w:hyperlink r:id="rId6" w:anchor="respond" w:tooltip="Прокомментировать запись " w:history="1">
        <w:r w:rsidRPr="002C0A16">
          <w:rPr>
            <w:rFonts w:ascii="inherit" w:eastAsia="Times New Roman" w:hAnsi="inherit" w:cs="Times New Roman"/>
            <w:color w:val="C12233"/>
            <w:sz w:val="18"/>
            <w:u w:val="single"/>
          </w:rPr>
          <w:t>Ваш комментарий</w:t>
        </w:r>
      </w:hyperlink>
    </w:p>
    <w:p w:rsidR="002C0A16" w:rsidRPr="002C0A16" w:rsidRDefault="002C0A16" w:rsidP="002C0A1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 </w:t>
      </w:r>
      <w:r>
        <w:rPr>
          <w:rFonts w:ascii="inherit" w:eastAsia="Times New Roman" w:hAnsi="inherit" w:cs="Times New Roman"/>
          <w:noProof/>
          <w:color w:val="C12233"/>
          <w:sz w:val="18"/>
          <w:szCs w:val="18"/>
          <w:bdr w:val="none" w:sz="0" w:space="0" w:color="auto" w:frame="1"/>
        </w:rPr>
        <w:drawing>
          <wp:inline distT="0" distB="0" distL="0" distR="0">
            <wp:extent cx="6096000" cy="4067175"/>
            <wp:effectExtent l="19050" t="0" r="0" b="0"/>
            <wp:docPr id="1" name="Рисунок 1" descr="http://amorh.com/wp-content/uploads/2012/11/DSC_001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rh.com/wp-content/uploads/2012/11/DSC_001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16 ноября 2012 года в Центре культуры и народного творчества им. С.П.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Кадышева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  состоялся первый форум органов территориального общественного самоуправления (ТОС) Республики Хакасия,  организованный Министерством национальной и территориальной политики Республики Хакасия при поддержке Ассоциации «Совет муниципальных образований Республики Хакасия», Общественной палаты Республики Хакасия и органов местного самоуправления городских округов, городских и сельских поселений республики.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Он прошел  в форме открытого мероприятия, включающего проведение выставок, презентаций органов ТОС, дискуссионных площадок и выработки решений по дальнейшему развитию ТОС в муниципальных образованиях. Форум был призван содействовать становлению институтов гражданского общества в Республике Хакасия через развитие системы ТОС,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Участниками форума стали более 170 представителей органов  ТОС, муниципальной и государственной власти.  Их приветствовали заместитель         Главы Республики Хакасия — Председателя Правительства Республики Хакасия Владимир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Крафт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, председатель Комитета по местному самоуправлению, общественным объединениям и межнациональным отношениям Верховного Совета Республики Хакасия Михаил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Саражаков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и главный федеральный инспектор полномочного представителя Президента Российской Федерации в Сибирском Федеральном округе Виктор Чернышев. Почетным гостем и участником форума был Директор ККГБОУ ДПО (ПК) «Институт муниципального развития», председатель Гражданской Ассамблеи Красноярского края Алексей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Менщиков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От лица Главы Республики Хакасия — Председателя Правительства Республики Хакасия Виктора Зимина Владимир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Крафт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объявил благодарность главам городов Абакана и Саяногорска Николаю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Булакину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и Леониду Быкову за поддержку гражданских инициатив и личный вклад в развитие органов территориального общественного самоуправления на территории муниципального самоуправления.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lastRenderedPageBreak/>
        <w:t xml:space="preserve">         Министр национальной и территориальной политики Республики Хакасия Надежда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Балахчина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рассказала о состоянии и перспективах развития ТОС в республике.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Ещё недавно ни о каком самоуправлении на местах не было и разговора. Отдельные жители выходили к властям с предложениями по благоустройству деревень и сёл, но денег на всё в бюджете не хватало. Тогда, по распоряжению Главы Хакасии Виктора Зимина, в республике стали проводиться обучающие семинары по становлению и развитию ТОС, на которых жители городов и районов обменивались опытом. Со временем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ТОСы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появились почти во всех муниципальных образованиях республики. Люди научились решать многие проблемы самостоятельно, либо прибегая к помощи меценатов и спонсоров. Сегодня в нашем регионе работают 68 органов ТОС, официально зарегистрированных органами местного самоуправления, половина из которых сосредоточена в 5 городских округах. За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последние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3 года 34 органа ТОС зарегистрированы и в сельских поселениях. Они занимаются вопросами благоустройства, сохранения культурного наследия, соблюдения правопорядка, воспитания молодежи, решения социальных и бытовых проблем населения. Многие смогли добиться существенных результатов и поделились своим опытом на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дискусионных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площадках и рабочих секциях форума.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На секции «Обустройство территорий, формирование среды безопасного проживания и жизнедеятельности населения», модератором которой выступила Виктория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Расташанская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(руководитель ТОС города Абаза), участники обсудили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обустроительные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работы по решениям Совета ТОС в жилом районе «Полярный», обустройство территории с. Копьево Орджоникидзевского района, практику обустройства среды проживания населения в ТОС «Центральный» г. Саяногорска и формирование среды безопасного проживания и жизнедеятельности населения в п.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Пригорск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муниципального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образования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Черногорск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Участники второй секции  «Социальное партнерство — основа успешного развития территориального общественного самоуправления» под руководством председателя ТОС «9 поселок»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Черногорска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Киселевой  Альбины Ивановны  делились опытом  социального партнерства органов ТОС г. Абакана, ТОС д. Новониколаевка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Новоенисейского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сельсовета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района и ТОС д. Чапаево Калининского сельсовета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Усть-Абаканского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района (Городилова Надежда, староста д. Чапаево).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Третья секция  была самая многочисленная. Оно и понятно. На ней обсуждали проблемы взаимодействия органов ТОС с органами местного самоуправления. Вела работу секции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Туринова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Ольга — специалист по работе с территориями администрации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района.</w:t>
      </w:r>
    </w:p>
    <w:p w:rsidR="002C0A16" w:rsidRPr="002C0A16" w:rsidRDefault="002C0A16" w:rsidP="002C0A1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О положительной практике взаимодействия органов ТОС и администрации города Саяногорска рассказали председатели органов ТОС  муниципального образования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Саяногорск и управляющий делами администрации города Виктор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Клундук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В городе и входящих в него поселениях (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пгт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Майна и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Черемушки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) работают 15 органов ТОС.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Уже три года действует муниципальная целевая программа «Финансовая   поддержка   и   развитие   территориального общественного самоуправления на 2010-2012 годы» и ее результаты видны всем жителям муниципального образования</w:t>
      </w:r>
      <w:r w:rsidRPr="002C0A16">
        <w:rPr>
          <w:rFonts w:ascii="inherit" w:eastAsia="Times New Roman" w:hAnsi="inherit" w:cs="Times New Roman"/>
          <w:color w:val="444444"/>
          <w:sz w:val="18"/>
        </w:rPr>
        <w:t> 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Еще один положительный опыт взаимодействия был представлен делегацией форума от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района. Еще летом ими совместно с Министерством национальной и территориальной политики Республики Хакасия на базе ТОС «Ах тура»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Кирбинского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сельсовета (руководитель Нестерова Людмила) был организован выездной республиканский семинар, посвященный становлению и развитию ТОС на селе.  После семинара работа органов ТОС активизировалась, в сентябре членами ТОС «Ах тура» совместно с администрацией был проведен районный праздник урожая «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Уртын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той» в селе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Кирба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и сегодня уже подготовлены документы для первой регистрации органа ТОС в Республике Хакасия в качестве юридического лица.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lastRenderedPageBreak/>
        <w:t xml:space="preserve">         Об использовании потенциала органов ТОС в целях развития муниципального образования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Черногорск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рассказала  Людмила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Корсун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, начальник отдела по работе с общественностью г.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Черногорска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А главы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Копьевского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сельсовета и  Таштыпского поссовета Попков Алексей и Дьяченко Алексей поделились опытом поддержки развития ТОС администрациями муниципальных образований. В частности Алексей Викторович рассказал, что в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Копьеском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поссовете в этом году принята и работает муниципальная программа развития ТОС на ближайшие три года. И, несмотря на небольшой объем финансирования (всего 100 тыс. рублей в год), сегодня в поселке органами ТОС благоустроены 2 детские площадки и, как написали в газете «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Орджоникидзеский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рабочий», в поселке теперь «не все одинаково серое». А председатель ТОС «Инициатива»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Мурадова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Е.Т. видит в администрации Таштыпского сельсовета главного заинтересованного партнера по реализации планов членов их ТОС.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Участники четвертой секции «Лидеры ТОС. Социальная поддержка и здоровый образ жизни жителей как направления деятельности ТОС», модератор Елена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Мешкаускене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– староста ТОС «Южный»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Абакана,  наглядно, в форме красочных презентаций познакомились с организацией социальной поддержки жителей в ТОС «Красный Абакан» и проведением мероприятий по здоровому образу жизни для жителей  ТОС Нижней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Согры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г. Абакана.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О том, что в любом деле многое зависит от лидера известно всем, но развитие территориального общественного самоуправления без лидера, уважаемого, грамотного и энергичного человека невозможно. Об этом на секции говорили все. И ярким подтверждением этому были Макарова Татьяна,  староста ТОС «Нижняя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Согра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» г. Абакана, лидер общественного самоуправления д.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Калы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— Павлова Ольга, председатель Совета старост д.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Калы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Сабинского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сельсовета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района и  Райкова Татьяна, председатель ТОС «Околица» д.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Дехановка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района, про которую члены ее ТОС говорят: «Чтоб «Околица» цвела — лидер Райкова нужна».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Отдельной темой обсуждения была «Информационная поддержка деятельности ТОС» (модератор секции  Наталья Соколик – исполнительный директор Ассоциации «Совет МО РХ»). На этой секции был представлен опыт информационной поддержки деятельности ТОС СМИ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 Саяногорска (Шмакова Лидия, гл. редактор газеты «Саянские ведомости»,  заместитель председателя ТОС «Енисей г. Саяногорска) и опыт информационной поддержки создания ТОС в Таштыпском сельсовете (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Мурадова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Екатерина, председатель ТОС «Инициатива» с. Таштып).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О возможностях поддержки развития ТОС в Республике Хакасия информационно-правовой системой «Гарант» рассказал Дмитрий Сергеев, генеральный директор компании «Гарант-Эталон»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 Абакана. Компанией для участников форума была организована работа консультационного пункта и предложена подборка информационных и нормативно правовых материалов по развитию территориального общественного самоуправления в Республике Хакасия и регионах Российской Федерации.</w:t>
      </w:r>
    </w:p>
    <w:p w:rsidR="002C0A16" w:rsidRPr="002C0A16" w:rsidRDefault="002C0A16" w:rsidP="002C0A1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          Обменявшись опытом и мнениями по рассматриваемым на секциях вопросам, участники каждой секции разработали рекомендации для органов государственной власти, органов МСУ, органов ТОС, Ассоциации «Совет МО РХ» и других ведом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ств дл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я включения в «Резолюцию  форума органов ТОС Республики Хакасия — 2012». Они будут обобщены и разосланы для внесения предложений по их исполнению всем заинтересованным ведомствам</w:t>
      </w:r>
      <w:r w:rsidR="002C13AA">
        <w:rPr>
          <w:rFonts w:ascii="inherit" w:eastAsia="Times New Roman" w:hAnsi="inherit" w:cs="Times New Roman"/>
          <w:color w:val="444444"/>
          <w:sz w:val="18"/>
        </w:rPr>
        <w:t xml:space="preserve"> 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       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В заключительной части форума Министерством национальной и территориальной политики Республики Хакасия за большую работу в развитии органов ТОС были отмечены благодарственными письмами руководители ТОС городов Абакана,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Саяногрска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, Сорска,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Черногрска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,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и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Усть-Абаканского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районов и награждены Почетными грамотами за поддержку и развитие органов ТОС глава администрации г.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Черногорска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Василий Белоногов, управляющий делами администрации г. Саяногорска Виктор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Клундук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, председатель ТОС г. Абазы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Виктория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Расташанская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, старосты ТОС «Южный» и «Красный Абакан» г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.А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бакана Елена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Мешкаускене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и Людмила Степанова, заместитель председателя ТОС «Енисей» г. Саяногорска Лидия Шмакова. 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Особенно активные органы ТОС получили от министерства еще и подарки — газонокосилки  (ТОС г. Абазы, ТОС «Ах тура»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Кирбинского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сельсовета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Бейского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района,  ТОС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пгт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Усть-Абакан).</w:t>
      </w:r>
      <w:proofErr w:type="gramEnd"/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lastRenderedPageBreak/>
        <w:t>         Главы и представители администраций городских округов и муниципальных районов Республики  также наградили активистов органов ТОС, действующих на их территории, грамотами и подарками.</w:t>
      </w:r>
    </w:p>
    <w:p w:rsidR="002C0A16" w:rsidRPr="002C0A16" w:rsidRDefault="002C0A16" w:rsidP="002C0A1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         Ассоциация «Совет муниципальных образований Республики Хакасия»  подвела на форуме итоги республиканского конкурса «Информационный ресурс ТОС Хакасии» на лучшее освещение в средствах массовой информации деятельности территориального общественного самоуправления. Председатель Совета Быков Леонид наградил победителей дипломами и ценными призами, а редакциям ИРТА «Абакан», газеты «Саянские ведомости» (</w:t>
      </w:r>
      <w:proofErr w:type="gram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</w:t>
      </w:r>
      <w:proofErr w:type="gram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. Саяногорск) и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Бейской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 районной общественно-политической</w:t>
      </w:r>
      <w:r w:rsidRPr="002C0A16">
        <w:rPr>
          <w:rFonts w:ascii="inherit" w:eastAsia="Times New Roman" w:hAnsi="inherit" w:cs="Times New Roman"/>
          <w:b/>
          <w:bCs/>
          <w:i/>
          <w:iCs/>
          <w:color w:val="444444"/>
          <w:sz w:val="18"/>
        </w:rPr>
        <w:t> </w:t>
      </w: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газеты «Саянская заря» были вручены Памятные знаки</w:t>
      </w:r>
      <w:r w:rsidRPr="002C0A16">
        <w:rPr>
          <w:rFonts w:ascii="inherit" w:eastAsia="Times New Roman" w:hAnsi="inherit" w:cs="Times New Roman"/>
          <w:b/>
          <w:bCs/>
          <w:color w:val="444444"/>
          <w:sz w:val="18"/>
        </w:rPr>
        <w:t> </w:t>
      </w: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за лучшее освещение в средствах массовой информации деятельности органов территориального общественного самоуправления</w:t>
      </w:r>
      <w:r w:rsidRPr="002C0A16">
        <w:rPr>
          <w:rFonts w:ascii="inherit" w:eastAsia="Times New Roman" w:hAnsi="inherit" w:cs="Times New Roman"/>
          <w:color w:val="444444"/>
          <w:sz w:val="18"/>
        </w:rPr>
        <w:t> </w:t>
      </w:r>
      <w:r w:rsidRPr="002C0A16">
        <w:rPr>
          <w:rFonts w:ascii="inherit" w:eastAsia="Times New Roman" w:hAnsi="inherit" w:cs="Times New Roman"/>
          <w:i/>
          <w:iCs/>
          <w:color w:val="444444"/>
          <w:sz w:val="18"/>
        </w:rPr>
        <w:t>(</w:t>
      </w:r>
      <w:hyperlink r:id="rId9" w:tgtFrame="_blank" w:history="1">
        <w:r w:rsidRPr="002C0A16">
          <w:rPr>
            <w:rFonts w:ascii="inherit" w:eastAsia="Times New Roman" w:hAnsi="inherit" w:cs="Times New Roman"/>
            <w:i/>
            <w:iCs/>
            <w:color w:val="C12233"/>
            <w:sz w:val="18"/>
            <w:u w:val="single"/>
          </w:rPr>
          <w:t>презентация конкурса</w:t>
        </w:r>
      </w:hyperlink>
      <w:r w:rsidRPr="002C0A16">
        <w:rPr>
          <w:rFonts w:ascii="inherit" w:eastAsia="Times New Roman" w:hAnsi="inherit" w:cs="Times New Roman"/>
          <w:i/>
          <w:iCs/>
          <w:color w:val="444444"/>
          <w:sz w:val="18"/>
        </w:rPr>
        <w:t>)</w:t>
      </w: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.</w:t>
      </w:r>
    </w:p>
    <w:p w:rsidR="002C0A16" w:rsidRPr="002C0A16" w:rsidRDefault="002C0A16" w:rsidP="002C0A16">
      <w:pPr>
        <w:spacing w:after="408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 xml:space="preserve">         В заключение форума все его участники выразили общее положительное мнение о проделанной в республике работе по становлению и развитию ТОС. Они отметили, что проведение в республике подобного мероприятия на высоком организационном уровне является показателем активности органов ТОС, их становления и созидательного участия в решении социально-экономических задач Республики Хакасия, конструктивного диалога с органами власти республики. Позитивным настроем на дальнейшую деятельность стал гимн ТОС Республики Хакасии, автором которого были члены ТОС г. </w:t>
      </w:r>
      <w:proofErr w:type="spellStart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Черногрска</w:t>
      </w:r>
      <w:proofErr w:type="spellEnd"/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, а исполнителями все участники форума.</w:t>
      </w:r>
    </w:p>
    <w:p w:rsidR="002C0A16" w:rsidRPr="002C0A16" w:rsidRDefault="002C0A16" w:rsidP="002C0A16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C12233"/>
          <w:sz w:val="18"/>
          <w:szCs w:val="18"/>
          <w:bdr w:val="none" w:sz="0" w:space="0" w:color="auto" w:frame="1"/>
        </w:rPr>
        <w:drawing>
          <wp:inline distT="0" distB="0" distL="0" distR="0">
            <wp:extent cx="6096000" cy="4067175"/>
            <wp:effectExtent l="19050" t="0" r="0" b="0"/>
            <wp:docPr id="2" name="Рисунок 2" descr="http://amorh.com/wp-content/uploads/2012/11/DSC_025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orh.com/wp-content/uploads/2012/11/DSC_025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16" w:rsidRPr="002C0A16" w:rsidRDefault="002C0A16" w:rsidP="002C0A16">
      <w:pPr>
        <w:spacing w:after="408" w:line="300" w:lineRule="atLeast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2C0A16">
        <w:rPr>
          <w:rFonts w:ascii="inherit" w:eastAsia="Times New Roman" w:hAnsi="inherit" w:cs="Times New Roman"/>
          <w:color w:val="444444"/>
          <w:sz w:val="18"/>
          <w:szCs w:val="18"/>
        </w:rPr>
        <w:t> </w:t>
      </w:r>
    </w:p>
    <w:p w:rsidR="002C0A16" w:rsidRPr="002C0A16" w:rsidRDefault="002C0A16" w:rsidP="002C0A16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C12233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6096000" cy="4067175"/>
            <wp:effectExtent l="19050" t="0" r="0" b="0"/>
            <wp:docPr id="3" name="Рисунок 3" descr="http://amorh.com/wp-content/uploads/2012/11/DSC_017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orh.com/wp-content/uploads/2012/11/DSC_017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16" w:rsidRPr="002C0A16" w:rsidRDefault="002C0A16" w:rsidP="002C0A1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C12233"/>
          <w:sz w:val="18"/>
          <w:szCs w:val="18"/>
          <w:bdr w:val="none" w:sz="0" w:space="0" w:color="auto" w:frame="1"/>
        </w:rPr>
        <w:drawing>
          <wp:inline distT="0" distB="0" distL="0" distR="0">
            <wp:extent cx="6096000" cy="4067175"/>
            <wp:effectExtent l="19050" t="0" r="0" b="0"/>
            <wp:docPr id="4" name="Рисунок 4" descr="http://amorh.com/wp-content/uploads/2012/11/DSC_014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orh.com/wp-content/uploads/2012/11/DSC_014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16" w:rsidRPr="002C0A16" w:rsidRDefault="002C0A16" w:rsidP="002C0A16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C12233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6096000" cy="4067175"/>
            <wp:effectExtent l="19050" t="0" r="0" b="0"/>
            <wp:docPr id="5" name="Рисунок 5" descr="http://amorh.com/wp-content/uploads/2012/11/DSC_016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morh.com/wp-content/uploads/2012/11/DSC_016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16" w:rsidRPr="002C0A16" w:rsidRDefault="002C0A16" w:rsidP="002C0A16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E74040"/>
          <w:sz w:val="18"/>
          <w:szCs w:val="18"/>
          <w:bdr w:val="none" w:sz="0" w:space="0" w:color="auto" w:frame="1"/>
        </w:rPr>
        <w:drawing>
          <wp:inline distT="0" distB="0" distL="0" distR="0">
            <wp:extent cx="6096000" cy="4067175"/>
            <wp:effectExtent l="19050" t="0" r="0" b="0"/>
            <wp:docPr id="6" name="Рисунок 6" descr="http://amorh.com/wp-content/uploads/2012/11/DSC_005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morh.com/wp-content/uploads/2012/11/DSC_005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2D" w:rsidRDefault="00BD672D"/>
    <w:sectPr w:rsidR="00BD672D" w:rsidSect="00FA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A16"/>
    <w:rsid w:val="002C0A16"/>
    <w:rsid w:val="002C13AA"/>
    <w:rsid w:val="00BD672D"/>
    <w:rsid w:val="00FA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C6"/>
  </w:style>
  <w:style w:type="paragraph" w:styleId="1">
    <w:name w:val="heading 1"/>
    <w:basedOn w:val="a"/>
    <w:link w:val="10"/>
    <w:uiPriority w:val="9"/>
    <w:qFormat/>
    <w:rsid w:val="002C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2C0A16"/>
  </w:style>
  <w:style w:type="character" w:customStyle="1" w:styleId="apple-converted-space">
    <w:name w:val="apple-converted-space"/>
    <w:basedOn w:val="a0"/>
    <w:rsid w:val="002C0A16"/>
  </w:style>
  <w:style w:type="character" w:styleId="a3">
    <w:name w:val="Hyperlink"/>
    <w:basedOn w:val="a0"/>
    <w:uiPriority w:val="99"/>
    <w:semiHidden/>
    <w:unhideWhenUsed/>
    <w:rsid w:val="002C0A16"/>
    <w:rPr>
      <w:color w:val="0000FF"/>
      <w:u w:val="single"/>
    </w:rPr>
  </w:style>
  <w:style w:type="character" w:customStyle="1" w:styleId="entry-date">
    <w:name w:val="entry-date"/>
    <w:basedOn w:val="a0"/>
    <w:rsid w:val="002C0A16"/>
  </w:style>
  <w:style w:type="character" w:customStyle="1" w:styleId="meta-sep">
    <w:name w:val="meta-sep"/>
    <w:basedOn w:val="a0"/>
    <w:rsid w:val="002C0A16"/>
  </w:style>
  <w:style w:type="character" w:customStyle="1" w:styleId="author">
    <w:name w:val="author"/>
    <w:basedOn w:val="a0"/>
    <w:rsid w:val="002C0A16"/>
  </w:style>
  <w:style w:type="character" w:customStyle="1" w:styleId="comments-link">
    <w:name w:val="comments-link"/>
    <w:basedOn w:val="a0"/>
    <w:rsid w:val="002C0A16"/>
  </w:style>
  <w:style w:type="paragraph" w:styleId="a4">
    <w:name w:val="Normal (Web)"/>
    <w:basedOn w:val="a"/>
    <w:uiPriority w:val="99"/>
    <w:semiHidden/>
    <w:unhideWhenUsed/>
    <w:rsid w:val="002C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C0A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38">
          <w:marLeft w:val="0"/>
          <w:marRight w:val="0"/>
          <w:marTop w:val="15"/>
          <w:marBottom w:val="0"/>
          <w:divBdr>
            <w:top w:val="none" w:sz="0" w:space="2" w:color="auto"/>
            <w:left w:val="none" w:sz="0" w:space="2" w:color="auto"/>
            <w:bottom w:val="dotted" w:sz="6" w:space="2" w:color="DDDDDD"/>
            <w:right w:val="none" w:sz="0" w:space="2" w:color="auto"/>
          </w:divBdr>
        </w:div>
        <w:div w:id="7343214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amorh.com/wp-content/uploads/2012/11/DSC_0055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morh.com/wp-content/uploads/2012/11/DSC_0017.jpg" TargetMode="External"/><Relationship Id="rId12" Type="http://schemas.openxmlformats.org/officeDocument/2006/relationships/hyperlink" Target="http://amorh.com/wp-content/uploads/2012/11/DSC_0175.jpg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amorh.com/wp-content/uploads/2012/11/DSC_016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morh.com/?p=148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amorh.com/?author=1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amorh.com/wp-content/uploads/2012/11/DSC_0251.jpg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amorh.com/?p=1480" TargetMode="External"/><Relationship Id="rId9" Type="http://schemas.openxmlformats.org/officeDocument/2006/relationships/hyperlink" Target="http://yadi.sk/d/tp_pmhYH0p_3D" TargetMode="External"/><Relationship Id="rId14" Type="http://schemas.openxmlformats.org/officeDocument/2006/relationships/hyperlink" Target="http://amorh.com/wp-content/uploads/2012/11/DSC_01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10186</Characters>
  <Application>Microsoft Office Word</Application>
  <DocSecurity>0</DocSecurity>
  <Lines>84</Lines>
  <Paragraphs>23</Paragraphs>
  <ScaleCrop>false</ScaleCrop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2012-11-22T01:11:00Z</dcterms:created>
  <dcterms:modified xsi:type="dcterms:W3CDTF">2012-12-05T00:47:00Z</dcterms:modified>
</cp:coreProperties>
</file>