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W w:w="9655" w:type="dxa"/>
        <w:tblLook w:val="04A0"/>
      </w:tblPr>
      <w:tblGrid>
        <w:gridCol w:w="4827"/>
        <w:gridCol w:w="4828"/>
      </w:tblGrid>
      <w:tr w:rsidR="0003147C" w:rsidTr="00035CB3">
        <w:trPr>
          <w:trHeight w:val="2551"/>
        </w:trPr>
        <w:tc>
          <w:tcPr>
            <w:tcW w:w="4827" w:type="dxa"/>
          </w:tcPr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="0037345A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 0</w:t>
            </w: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Pr="007273BB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7273BB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73BB">
              <w:rPr>
                <w:rFonts w:ascii="Arial" w:hAnsi="Arial" w:cs="Arial"/>
                <w:sz w:val="28"/>
                <w:szCs w:val="28"/>
              </w:rPr>
              <w:t>Пресс-служба Красноярскстата</w:t>
            </w: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3147C" w:rsidRPr="007273BB" w:rsidRDefault="0003147C" w:rsidP="00035CB3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8" w:type="dxa"/>
            <w:hideMark/>
          </w:tcPr>
          <w:p w:rsidR="0003147C" w:rsidRDefault="0003147C" w:rsidP="00035CB3">
            <w:pPr>
              <w:ind w:left="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0600" cy="1162050"/>
                  <wp:effectExtent l="19050" t="0" r="0" b="0"/>
                  <wp:docPr id="4" name="Рисунок 1" descr="Копия (2)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(2)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5D1" w:rsidRPr="00491716" w:rsidRDefault="00B635D1" w:rsidP="00B635D1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Хакасия</w:t>
      </w:r>
      <w:r w:rsidRPr="00B635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Pr="0049171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C169E6" w:rsidRPr="00C169E6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br/>
      </w: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B635D1" w:rsidRDefault="00B635D1" w:rsidP="00B635D1">
      <w:pPr>
        <w:jc w:val="center"/>
        <w:rPr>
          <w:sz w:val="24"/>
          <w:szCs w:val="24"/>
        </w:rPr>
      </w:pPr>
    </w:p>
    <w:p w:rsidR="00B635D1" w:rsidRDefault="00B635D1" w:rsidP="00B635D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2019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br/>
        <w:t xml:space="preserve">28,1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2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 xml:space="preserve">31,4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21,4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68 процентов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B635D1" w:rsidRDefault="00B635D1" w:rsidP="00B635D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B635D1" w:rsidRDefault="00B635D1" w:rsidP="00B635D1">
      <w:pPr>
        <w:pStyle w:val="3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35D1" w:rsidRDefault="00B635D1" w:rsidP="00B635D1">
      <w:pPr>
        <w:pStyle w:val="3"/>
        <w:spacing w:after="0" w:line="264" w:lineRule="auto"/>
        <w:ind w:left="0"/>
        <w:jc w:val="center"/>
        <w:rPr>
          <w:sz w:val="28"/>
          <w:szCs w:val="28"/>
        </w:rPr>
      </w:pPr>
    </w:p>
    <w:p w:rsidR="00B635D1" w:rsidRPr="00B840EF" w:rsidRDefault="00B635D1" w:rsidP="00B635D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2019 году составил </w:t>
      </w:r>
      <w:r>
        <w:rPr>
          <w:sz w:val="28"/>
          <w:szCs w:val="28"/>
        </w:rPr>
        <w:br/>
        <w:t>89,5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(в 2018 году – 95,5 процента).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Наибольшая численность принятых работников по отношению к выбывшим наблюдалась в </w:t>
      </w:r>
      <w:r w:rsidRPr="0058168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8168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581681">
        <w:rPr>
          <w:sz w:val="28"/>
          <w:szCs w:val="28"/>
        </w:rPr>
        <w:t xml:space="preserve"> и сопутствующи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(119,8 процента), </w:t>
      </w:r>
      <w:r w:rsidRPr="00D1793E">
        <w:rPr>
          <w:sz w:val="28"/>
          <w:szCs w:val="28"/>
        </w:rPr>
        <w:t>торговл</w:t>
      </w:r>
      <w:r>
        <w:rPr>
          <w:sz w:val="28"/>
          <w:szCs w:val="28"/>
        </w:rPr>
        <w:t>е</w:t>
      </w:r>
      <w:r w:rsidRPr="00D1793E">
        <w:rPr>
          <w:sz w:val="28"/>
          <w:szCs w:val="28"/>
        </w:rPr>
        <w:t xml:space="preserve"> оптов</w:t>
      </w:r>
      <w:r>
        <w:rPr>
          <w:sz w:val="28"/>
          <w:szCs w:val="28"/>
        </w:rPr>
        <w:t>ой</w:t>
      </w:r>
      <w:r w:rsidRPr="00D1793E">
        <w:rPr>
          <w:sz w:val="28"/>
          <w:szCs w:val="28"/>
        </w:rPr>
        <w:t xml:space="preserve"> и розничн</w:t>
      </w:r>
      <w:r>
        <w:rPr>
          <w:sz w:val="28"/>
          <w:szCs w:val="28"/>
        </w:rPr>
        <w:t>ой</w:t>
      </w:r>
      <w:r w:rsidRPr="00D1793E">
        <w:rPr>
          <w:sz w:val="28"/>
          <w:szCs w:val="28"/>
        </w:rPr>
        <w:t xml:space="preserve">; ремонт автотранспортных средств и мотоциклов </w:t>
      </w:r>
      <w:r>
        <w:rPr>
          <w:sz w:val="28"/>
          <w:szCs w:val="28"/>
        </w:rPr>
        <w:t>(111,9 процента).</w:t>
      </w:r>
      <w:proofErr w:type="gramEnd"/>
    </w:p>
    <w:p w:rsidR="00B635D1" w:rsidRDefault="00B635D1" w:rsidP="00B635D1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7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,2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(больше на 9,8 процента, чем в 2018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в отпусках без сохранения заработной платы, наибольшая доля </w:t>
      </w:r>
      <w:r>
        <w:rPr>
          <w:rFonts w:eastAsia="MS Mincho" w:cs="Courier New"/>
          <w:sz w:val="28"/>
          <w:szCs w:val="28"/>
        </w:rPr>
        <w:lastRenderedPageBreak/>
        <w:t xml:space="preserve">отмечена в </w:t>
      </w:r>
      <w:r w:rsidRPr="00402380">
        <w:rPr>
          <w:rFonts w:eastAsia="MS Mincho" w:cs="Courier New"/>
          <w:sz w:val="28"/>
          <w:szCs w:val="28"/>
        </w:rPr>
        <w:t>добыч</w:t>
      </w:r>
      <w:r>
        <w:rPr>
          <w:rFonts w:eastAsia="MS Mincho" w:cs="Courier New"/>
          <w:sz w:val="28"/>
          <w:szCs w:val="28"/>
        </w:rPr>
        <w:t>е</w:t>
      </w:r>
      <w:r w:rsidRPr="00402380">
        <w:rPr>
          <w:rFonts w:eastAsia="MS Mincho" w:cs="Courier New"/>
          <w:sz w:val="28"/>
          <w:szCs w:val="28"/>
        </w:rPr>
        <w:t xml:space="preserve"> полезных ископаемых</w:t>
      </w:r>
      <w:r>
        <w:rPr>
          <w:rFonts w:eastAsia="MS Mincho" w:cs="Courier New"/>
          <w:sz w:val="28"/>
          <w:szCs w:val="28"/>
        </w:rPr>
        <w:t xml:space="preserve"> (16,9 процента), обрабатывающих производствах (15,2 процента), </w:t>
      </w:r>
      <w:r w:rsidRPr="00657515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657515">
        <w:rPr>
          <w:rFonts w:eastAsia="MS Mincho" w:cs="Courier New"/>
          <w:sz w:val="28"/>
          <w:szCs w:val="28"/>
        </w:rPr>
        <w:t xml:space="preserve"> в области здравоохранения </w:t>
      </w:r>
      <w:r>
        <w:rPr>
          <w:rFonts w:eastAsia="MS Mincho" w:cs="Courier New"/>
          <w:sz w:val="28"/>
          <w:szCs w:val="28"/>
        </w:rPr>
        <w:br/>
      </w:r>
      <w:r w:rsidRPr="00657515">
        <w:rPr>
          <w:rFonts w:eastAsia="MS Mincho" w:cs="Courier New"/>
          <w:sz w:val="28"/>
          <w:szCs w:val="28"/>
        </w:rPr>
        <w:t xml:space="preserve">и социальных услуг </w:t>
      </w:r>
      <w:r>
        <w:rPr>
          <w:rFonts w:eastAsia="MS Mincho" w:cs="Courier New"/>
          <w:sz w:val="28"/>
          <w:szCs w:val="28"/>
        </w:rPr>
        <w:t xml:space="preserve">(14,7 процента) </w:t>
      </w:r>
      <w:r w:rsidRPr="00966CF2"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>образовании (11,4 процента).</w:t>
      </w:r>
    </w:p>
    <w:p w:rsidR="00B635D1" w:rsidRPr="00B26957" w:rsidRDefault="00B635D1" w:rsidP="00B635D1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2019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2,5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(на 5,2 процента больше по сравнению </w:t>
      </w:r>
      <w:r>
        <w:rPr>
          <w:rFonts w:eastAsia="MS Mincho" w:cs="Courier New"/>
          <w:sz w:val="28"/>
          <w:szCs w:val="28"/>
        </w:rPr>
        <w:br/>
        <w:t xml:space="preserve">с 2018 годом),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 xml:space="preserve">2,3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Наиболее значительная потребность в работниках сложилась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480931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480931">
        <w:rPr>
          <w:rFonts w:eastAsia="MS Mincho" w:cs="Courier New"/>
          <w:sz w:val="28"/>
          <w:szCs w:val="28"/>
        </w:rPr>
        <w:t xml:space="preserve"> административн</w:t>
      </w:r>
      <w:r>
        <w:rPr>
          <w:rFonts w:eastAsia="MS Mincho" w:cs="Courier New"/>
          <w:sz w:val="28"/>
          <w:szCs w:val="28"/>
        </w:rPr>
        <w:t>ой</w:t>
      </w:r>
      <w:r w:rsidRPr="00480931">
        <w:rPr>
          <w:rFonts w:eastAsia="MS Mincho" w:cs="Courier New"/>
          <w:sz w:val="28"/>
          <w:szCs w:val="28"/>
        </w:rPr>
        <w:t xml:space="preserve"> и сопутствующ</w:t>
      </w:r>
      <w:r>
        <w:rPr>
          <w:rFonts w:eastAsia="MS Mincho" w:cs="Courier New"/>
          <w:sz w:val="28"/>
          <w:szCs w:val="28"/>
        </w:rPr>
        <w:t>их</w:t>
      </w:r>
      <w:r w:rsidRPr="00480931">
        <w:rPr>
          <w:rFonts w:eastAsia="MS Mincho" w:cs="Courier New"/>
          <w:sz w:val="28"/>
          <w:szCs w:val="28"/>
        </w:rPr>
        <w:t xml:space="preserve"> дополнительны</w:t>
      </w:r>
      <w:r>
        <w:rPr>
          <w:rFonts w:eastAsia="MS Mincho" w:cs="Courier New"/>
          <w:sz w:val="28"/>
          <w:szCs w:val="28"/>
        </w:rPr>
        <w:t>х</w:t>
      </w:r>
      <w:r w:rsidRPr="00480931">
        <w:rPr>
          <w:rFonts w:eastAsia="MS Mincho" w:cs="Courier New"/>
          <w:sz w:val="28"/>
          <w:szCs w:val="28"/>
        </w:rPr>
        <w:t xml:space="preserve"> услуг</w:t>
      </w:r>
      <w:r>
        <w:rPr>
          <w:rFonts w:eastAsia="MS Mincho" w:cs="Courier New"/>
          <w:sz w:val="28"/>
          <w:szCs w:val="28"/>
        </w:rPr>
        <w:t>ах и т</w:t>
      </w:r>
      <w:r w:rsidRPr="00B140CD">
        <w:rPr>
          <w:rFonts w:eastAsia="MS Mincho" w:cs="Courier New"/>
          <w:sz w:val="28"/>
          <w:szCs w:val="28"/>
        </w:rPr>
        <w:t>орговл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оптов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 xml:space="preserve"> и розничн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>; ремонт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>
        <w:rPr>
          <w:rFonts w:eastAsia="MS Mincho" w:cs="Courier New"/>
          <w:sz w:val="28"/>
          <w:szCs w:val="28"/>
        </w:rPr>
        <w:br/>
      </w:r>
      <w:r w:rsidRPr="00B140CD">
        <w:rPr>
          <w:rFonts w:eastAsia="MS Mincho" w:cs="Courier New"/>
          <w:sz w:val="28"/>
          <w:szCs w:val="28"/>
        </w:rPr>
        <w:t>и мотоциклов</w:t>
      </w:r>
      <w:r>
        <w:rPr>
          <w:rFonts w:eastAsia="MS Mincho" w:cs="Courier New"/>
          <w:sz w:val="28"/>
          <w:szCs w:val="28"/>
        </w:rPr>
        <w:t xml:space="preserve"> (8,2 процента и 6,2 процента списочной численности работников соответствующих видов экономической деятельности).</w:t>
      </w:r>
    </w:p>
    <w:p w:rsidR="00B635D1" w:rsidRPr="005C7D83" w:rsidRDefault="00B635D1" w:rsidP="00B635D1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C169E6" w:rsidRDefault="00C169E6" w:rsidP="00C169E6">
      <w:pPr>
        <w:spacing w:before="120"/>
        <w:jc w:val="both"/>
      </w:pPr>
      <w:r w:rsidRPr="00C169E6">
        <w:t>*</w:t>
      </w:r>
      <w:r>
        <w:t xml:space="preserve"> В отдельных случаях незначительные расхождения между итогом и суммой слагаемых объясняются округлением данных.</w:t>
      </w:r>
    </w:p>
    <w:p w:rsidR="0003147C" w:rsidRPr="00B635D1" w:rsidRDefault="0003147C" w:rsidP="0003147C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p w:rsidR="00C169E6" w:rsidRPr="00C169E6" w:rsidRDefault="00C169E6" w:rsidP="0003147C">
      <w:pPr>
        <w:rPr>
          <w:rFonts w:ascii="Cambria" w:hAnsi="Cambria"/>
        </w:rPr>
      </w:pPr>
    </w:p>
    <w:p w:rsidR="0003147C" w:rsidRPr="00E34EC2" w:rsidRDefault="0003147C" w:rsidP="0003147C">
      <w:pPr>
        <w:rPr>
          <w:rFonts w:ascii="Cambria" w:hAnsi="Cambria"/>
        </w:rPr>
      </w:pPr>
      <w:r w:rsidRPr="00E34EC2">
        <w:rPr>
          <w:rFonts w:ascii="Cambria" w:hAnsi="Cambria"/>
        </w:rPr>
        <w:t xml:space="preserve">Адрес для направления запросов от СМИ: </w:t>
      </w:r>
      <w:hyperlink r:id="rId6" w:history="1">
        <w:r w:rsidRPr="00D257AF">
          <w:rPr>
            <w:rStyle w:val="a5"/>
            <w:rFonts w:ascii="Cambria" w:hAnsi="Cambria"/>
          </w:rPr>
          <w:t>P24_pressa@gks.ru</w:t>
        </w:r>
      </w:hyperlink>
    </w:p>
    <w:p w:rsidR="0003147C" w:rsidRDefault="0003147C" w:rsidP="0003147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Присоединяйтесь к </w:t>
      </w:r>
      <w:proofErr w:type="gramStart"/>
      <w:r>
        <w:rPr>
          <w:rFonts w:ascii="Arial" w:hAnsi="Arial" w:cs="Arial"/>
          <w:sz w:val="20"/>
          <w:szCs w:val="20"/>
        </w:rPr>
        <w:t>нашим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пабликам</w:t>
      </w:r>
      <w:proofErr w:type="spellEnd"/>
      <w:r>
        <w:rPr>
          <w:rFonts w:ascii="Arial" w:hAnsi="Arial" w:cs="Arial"/>
          <w:sz w:val="20"/>
          <w:szCs w:val="20"/>
        </w:rPr>
        <w:t xml:space="preserve"> и узнавайте новости самыми первыми:</w:t>
      </w:r>
    </w:p>
    <w:p w:rsidR="0003147C" w:rsidRDefault="00CC190C" w:rsidP="0003147C">
      <w:pPr>
        <w:pStyle w:val="a3"/>
        <w:rPr>
          <w:rFonts w:ascii="Arial" w:hAnsi="Arial" w:cs="Arial"/>
          <w:sz w:val="20"/>
          <w:szCs w:val="20"/>
        </w:rPr>
      </w:pPr>
      <w:hyperlink r:id="rId7" w:history="1">
        <w:r w:rsidR="0003147C">
          <w:rPr>
            <w:rStyle w:val="a5"/>
            <w:rFonts w:ascii="Arial" w:hAnsi="Arial" w:cs="Arial"/>
          </w:rPr>
          <w:t>www.vk.com/krasnoyarskstat</w:t>
        </w:r>
      </w:hyperlink>
      <w:r w:rsidR="0003147C">
        <w:rPr>
          <w:rFonts w:ascii="Arial" w:hAnsi="Arial" w:cs="Arial"/>
          <w:sz w:val="20"/>
          <w:szCs w:val="20"/>
        </w:rPr>
        <w:t xml:space="preserve"> </w:t>
      </w:r>
    </w:p>
    <w:p w:rsidR="0003147C" w:rsidRDefault="00CC190C" w:rsidP="0003147C">
      <w:pPr>
        <w:pStyle w:val="a3"/>
        <w:rPr>
          <w:rFonts w:ascii="Arial" w:hAnsi="Arial" w:cs="Arial"/>
          <w:sz w:val="20"/>
          <w:szCs w:val="20"/>
        </w:rPr>
      </w:pPr>
      <w:hyperlink r:id="rId8" w:history="1">
        <w:r w:rsidR="0003147C">
          <w:rPr>
            <w:rStyle w:val="a5"/>
            <w:rFonts w:ascii="Arial" w:hAnsi="Arial" w:cs="Arial"/>
          </w:rPr>
          <w:t>www.facebook.com/krasnoyarskstat</w:t>
        </w:r>
      </w:hyperlink>
      <w:r w:rsidR="0003147C">
        <w:rPr>
          <w:rFonts w:ascii="Arial" w:hAnsi="Arial" w:cs="Arial"/>
          <w:sz w:val="20"/>
          <w:szCs w:val="20"/>
        </w:rPr>
        <w:t xml:space="preserve"> </w:t>
      </w:r>
    </w:p>
    <w:p w:rsidR="0003147C" w:rsidRDefault="00CC190C" w:rsidP="0003147C">
      <w:pPr>
        <w:rPr>
          <w:sz w:val="28"/>
          <w:szCs w:val="28"/>
        </w:rPr>
      </w:pPr>
      <w:hyperlink r:id="rId9" w:history="1">
        <w:r w:rsidR="0003147C">
          <w:rPr>
            <w:rStyle w:val="a5"/>
            <w:rFonts w:ascii="Arial" w:hAnsi="Arial" w:cs="Arial"/>
          </w:rPr>
          <w:t>https://zen.yandex.ru/id/5b4caf6d3ff35400a714edd2</w:t>
        </w:r>
      </w:hyperlink>
    </w:p>
    <w:p w:rsidR="0003147C" w:rsidRDefault="0003147C" w:rsidP="0003147C"/>
    <w:p w:rsidR="00924C9A" w:rsidRDefault="00C169E6"/>
    <w:sectPr w:rsidR="00924C9A" w:rsidSect="00E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7C"/>
    <w:rsid w:val="0003147C"/>
    <w:rsid w:val="001C36DE"/>
    <w:rsid w:val="003065CD"/>
    <w:rsid w:val="0037345A"/>
    <w:rsid w:val="008845F7"/>
    <w:rsid w:val="00895AAB"/>
    <w:rsid w:val="00B635D1"/>
    <w:rsid w:val="00C169E6"/>
    <w:rsid w:val="00CC190C"/>
    <w:rsid w:val="00E13504"/>
    <w:rsid w:val="00E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3147C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3147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63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5D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B6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rasnoyarskst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.com/krasnoyarsks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4_pressa@gks.ru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zen.yandex.ru/id/5b4caf6d3ff35400a714edd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8E-2"/>
          <c:y val="0.17636233274970434"/>
          <c:w val="0.90881713593511959"/>
          <c:h val="0.3827151280244118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416E-3"/>
                  <c:y val="0.21353405483670423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26.979999999999986</c:v>
                </c:pt>
                <c:pt idx="1">
                  <c:v>28.112000000000005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58E-3"/>
                  <c:y val="-1.85980755961224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566E-6"/>
                  <c:y val="-6.0629909318536193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1.885</c:v>
                </c:pt>
                <c:pt idx="1">
                  <c:v>1.9920000000000009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416E-3"/>
                  <c:y val="0.2212648471840537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2E-3"/>
                  <c:y val="0.22646979240082829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28.260999999999989</c:v>
                </c:pt>
                <c:pt idx="1">
                  <c:v>31.411000000000001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2E-3"/>
                  <c:y val="0.18272023638959925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19.643999999999988</c:v>
                </c:pt>
                <c:pt idx="1">
                  <c:v>21.361999999999988</c:v>
                </c:pt>
              </c:numCache>
            </c:numRef>
          </c:val>
        </c:ser>
        <c:axId val="76434048"/>
        <c:axId val="76468608"/>
      </c:barChart>
      <c:catAx>
        <c:axId val="76434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6468608"/>
        <c:crossesAt val="0"/>
        <c:auto val="1"/>
        <c:lblAlgn val="ctr"/>
        <c:lblOffset val="100"/>
      </c:catAx>
      <c:valAx>
        <c:axId val="76468608"/>
        <c:scaling>
          <c:orientation val="minMax"/>
          <c:max val="35"/>
        </c:scaling>
        <c:delete val="1"/>
        <c:axPos val="l"/>
        <c:numFmt formatCode="0.0" sourceLinked="1"/>
        <c:tickLblPos val="none"/>
        <c:crossAx val="76434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10272617349927"/>
          <c:y val="0.67762184847790796"/>
          <c:w val="0.83863243300123114"/>
          <c:h val="0.3223781515220940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>Krasnoyarskstat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P24_shevchukla</dc:creator>
  <cp:keywords/>
  <dc:description/>
  <cp:lastModifiedBy>P24_shevchukla</cp:lastModifiedBy>
  <cp:revision>6</cp:revision>
  <dcterms:created xsi:type="dcterms:W3CDTF">2020-02-27T01:42:00Z</dcterms:created>
  <dcterms:modified xsi:type="dcterms:W3CDTF">2020-02-28T01:50:00Z</dcterms:modified>
</cp:coreProperties>
</file>