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2D06" w14:textId="77777777" w:rsidR="00033A6B" w:rsidRPr="00910257" w:rsidRDefault="00D36D29" w:rsidP="009102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</w:pPr>
      <w:r w:rsidRPr="00910257"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  <w:t>Состояние жилищного фонда на конец 2022 года</w:t>
      </w:r>
    </w:p>
    <w:p w14:paraId="3A5D1C77" w14:textId="77777777" w:rsidR="00B025F8" w:rsidRPr="00910257" w:rsidRDefault="00B025F8" w:rsidP="00910257">
      <w:pPr>
        <w:spacing w:after="0" w:line="240" w:lineRule="auto"/>
        <w:ind w:firstLine="709"/>
        <w:jc w:val="both"/>
        <w:outlineLvl w:val="0"/>
        <w:rPr>
          <w:rFonts w:cstheme="minorHAnsi"/>
          <w:color w:val="0E2D47"/>
          <w:sz w:val="28"/>
          <w:szCs w:val="28"/>
        </w:rPr>
      </w:pPr>
    </w:p>
    <w:p w14:paraId="2119E08B" w14:textId="77777777" w:rsidR="00D85992" w:rsidRDefault="00D85992" w:rsidP="00910257">
      <w:pPr>
        <w:pStyle w:val="a6"/>
        <w:shd w:val="clear" w:color="auto" w:fill="FFFFFF"/>
        <w:spacing w:before="0" w:beforeAutospacing="0" w:after="0"/>
        <w:ind w:firstLine="709"/>
        <w:jc w:val="both"/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</w:pP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татом подготовлена статистическая информация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87079D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о</w:t>
      </w:r>
      <w:r w:rsidR="004E3FB1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9C0433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состоянии жилищного фонда</w:t>
      </w:r>
      <w:r w:rsidR="00B639EC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в 202</w:t>
      </w:r>
      <w:r w:rsidR="00F912C3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2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году.</w:t>
      </w:r>
    </w:p>
    <w:p w14:paraId="064AA1EE" w14:textId="77777777" w:rsidR="00EE10C4" w:rsidRPr="00910257" w:rsidRDefault="0084248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На конец 2022 года жилищный фонд Республики Хакасия составлял 14,6 миллиона квадратных метров (на 1,9 процента больше относительно 2021 года). На одного жителя республики в среднем приходилось 27,</w:t>
      </w:r>
      <w:r w:rsidR="00607F40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5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 квадратного метра</w:t>
      </w:r>
      <w:r w:rsidR="006F4FC7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 общей площади жилых помещений.</w:t>
      </w:r>
    </w:p>
    <w:p w14:paraId="72897476" w14:textId="77777777" w:rsidR="009C2647" w:rsidRDefault="009C2647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p w14:paraId="7832EA25" w14:textId="39AE65F0" w:rsidR="00EE10C4" w:rsidRPr="00910257" w:rsidRDefault="0084248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Жилищный фонд республики на конец 2022 года включал 61,7 тысячи жилых домов (индивидуально-определенных зданий), 40,8 тысяч</w:t>
      </w:r>
      <w:r w:rsidR="00935762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и домов блокированной застройки, 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2,9 тысячи многоквартирных жилых домов</w:t>
      </w:r>
      <w:r w:rsidR="00935762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 и 727 </w:t>
      </w:r>
      <w:r w:rsidR="00935762" w:rsidRPr="00910257">
        <w:rPr>
          <w:rFonts w:cstheme="minorHAnsi"/>
          <w:color w:val="404040" w:themeColor="text1" w:themeTint="BF"/>
          <w:sz w:val="28"/>
          <w:szCs w:val="28"/>
        </w:rPr>
        <w:t xml:space="preserve">жилых </w:t>
      </w:r>
      <w:r w:rsidR="00DD7484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домов</w:t>
      </w:r>
      <w:r w:rsidR="00935762" w:rsidRPr="00910257">
        <w:rPr>
          <w:rFonts w:cstheme="minorHAnsi"/>
          <w:color w:val="404040" w:themeColor="text1" w:themeTint="BF"/>
          <w:sz w:val="28"/>
          <w:szCs w:val="28"/>
        </w:rPr>
        <w:t>, расположенных на земельных участках, предназначенных для ведения садоводства</w:t>
      </w:r>
      <w:r w:rsidR="00935762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.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 Общее число квартир составляло 245,4 тысячи, из них на долю однокомнатных квартир приходилось 19 процентов, двухкомнатных – 37,5 процента, трехкомнатных – 35,4 процента, четырехко</w:t>
      </w:r>
      <w:r w:rsidR="00EE10C4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мнатных и более – 8,1 процента.</w:t>
      </w:r>
    </w:p>
    <w:p w14:paraId="03218E72" w14:textId="77777777" w:rsidR="009C2647" w:rsidRDefault="009C2647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p w14:paraId="544D809B" w14:textId="6C7C99B4" w:rsidR="00EE10C4" w:rsidRPr="00910257" w:rsidRDefault="0084248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В структуре жилищного фонда республики по формам собственности преобладал частный жилищный фонд, удельный вес которого составлял 96,5 процента.</w:t>
      </w:r>
    </w:p>
    <w:p w14:paraId="373AF959" w14:textId="77777777" w:rsidR="009C2647" w:rsidRDefault="009C2647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p w14:paraId="3C4B9B31" w14:textId="1563F858" w:rsidR="00EE10C4" w:rsidRPr="00910257" w:rsidRDefault="0084248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По материалу стен жилищный фонд республики преимущественно представлен </w:t>
      </w:r>
      <w:r w:rsidR="00625EE8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кирпичными (30,2 процента в общей площади жилищного фонда), </w:t>
      </w:r>
      <w:r w:rsidR="00322E33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деревянными (30,1 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процента</w:t>
      </w:r>
      <w:r w:rsidR="0018459F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) 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и панельными (27,9 процента) строениями.</w:t>
      </w:r>
    </w:p>
    <w:p w14:paraId="73260A3F" w14:textId="77777777" w:rsidR="009C2647" w:rsidRDefault="009C2647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p w14:paraId="3B8D7B52" w14:textId="158D91FB" w:rsidR="00EE10C4" w:rsidRDefault="0084248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На конец 2022 года 77,6 процента общей площади жилых помещений было оборудовано отоплением, 77,5 процента – водопроводом, 73,2 процента – водоотведением (канализацией), 67,4 процента – горячим водоснабжением, </w:t>
      </w:r>
      <w:r w:rsidR="003A4760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66,8 процента – напольными электроплитами, 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63,6 процента – ваннами (душем), 19,5 процента – газом. Доля общей площади жилищного фонда, оборудованного одновременно водопроводом, водоотведением (канализацией), отоплением, горячим водоснабжением, газом </w:t>
      </w:r>
      <w:r w:rsidR="00196CF5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или 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напольными электроплит</w:t>
      </w:r>
      <w:r w:rsidR="006F4FC7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ами составляла 66,6 процента.</w:t>
      </w:r>
    </w:p>
    <w:p w14:paraId="75213224" w14:textId="77777777" w:rsidR="009C2647" w:rsidRPr="00910257" w:rsidRDefault="009C2647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p w14:paraId="3DC0CE6F" w14:textId="77777777" w:rsidR="009E3556" w:rsidRPr="00910257" w:rsidRDefault="0084248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На конец 2022 года 61,3 процента жилищного фонда изношено менее</w:t>
      </w:r>
      <w:r w:rsidR="00EE1E98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,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 чем на 30 процентов, износ </w:t>
      </w:r>
      <w:r w:rsidR="006A70F6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от 30 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 xml:space="preserve">до 65 процентов отмечен у 34 процентов жилищного фонда, </w:t>
      </w:r>
      <w:r w:rsidR="006A70F6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от 66 </w:t>
      </w:r>
      <w:r w:rsidR="00196CF5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до 70 </w:t>
      </w:r>
      <w:r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процентов – у 2,7 процента.</w:t>
      </w:r>
    </w:p>
    <w:p w14:paraId="28BC4367" w14:textId="77777777" w:rsidR="006C0349" w:rsidRPr="00910257" w:rsidRDefault="006C0349" w:rsidP="00910257">
      <w:pPr>
        <w:spacing w:after="0" w:line="240" w:lineRule="auto"/>
        <w:ind w:firstLine="709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sectPr w:rsidR="006C0349" w:rsidRPr="00910257" w:rsidSect="009102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33A6B"/>
    <w:rsid w:val="00037C82"/>
    <w:rsid w:val="00054C4C"/>
    <w:rsid w:val="000560E1"/>
    <w:rsid w:val="0006689D"/>
    <w:rsid w:val="00067E81"/>
    <w:rsid w:val="000739D3"/>
    <w:rsid w:val="000A2D0D"/>
    <w:rsid w:val="000B0ACE"/>
    <w:rsid w:val="000F7BB7"/>
    <w:rsid w:val="00145642"/>
    <w:rsid w:val="0018459F"/>
    <w:rsid w:val="00196CF5"/>
    <w:rsid w:val="001971B1"/>
    <w:rsid w:val="001B4D4D"/>
    <w:rsid w:val="00214C5F"/>
    <w:rsid w:val="00225FCE"/>
    <w:rsid w:val="00236DE3"/>
    <w:rsid w:val="0024465E"/>
    <w:rsid w:val="002512BA"/>
    <w:rsid w:val="0027452D"/>
    <w:rsid w:val="0028230D"/>
    <w:rsid w:val="00287921"/>
    <w:rsid w:val="0029119B"/>
    <w:rsid w:val="002A7C7C"/>
    <w:rsid w:val="002B1392"/>
    <w:rsid w:val="00307649"/>
    <w:rsid w:val="00322E33"/>
    <w:rsid w:val="00324CEE"/>
    <w:rsid w:val="003414DB"/>
    <w:rsid w:val="003A4760"/>
    <w:rsid w:val="003C670D"/>
    <w:rsid w:val="003F0199"/>
    <w:rsid w:val="003F3E5F"/>
    <w:rsid w:val="003F4472"/>
    <w:rsid w:val="00435587"/>
    <w:rsid w:val="00456BB8"/>
    <w:rsid w:val="004610B4"/>
    <w:rsid w:val="004E3FB1"/>
    <w:rsid w:val="004F72FD"/>
    <w:rsid w:val="005074B7"/>
    <w:rsid w:val="0051299B"/>
    <w:rsid w:val="00543AFF"/>
    <w:rsid w:val="00550A83"/>
    <w:rsid w:val="005770B4"/>
    <w:rsid w:val="005A13EE"/>
    <w:rsid w:val="005A5843"/>
    <w:rsid w:val="005B1650"/>
    <w:rsid w:val="005D2768"/>
    <w:rsid w:val="005F04ED"/>
    <w:rsid w:val="00600B25"/>
    <w:rsid w:val="00607A29"/>
    <w:rsid w:val="00607F40"/>
    <w:rsid w:val="00625EE8"/>
    <w:rsid w:val="006602B4"/>
    <w:rsid w:val="00676D8B"/>
    <w:rsid w:val="006770DD"/>
    <w:rsid w:val="006A39C3"/>
    <w:rsid w:val="006A49EC"/>
    <w:rsid w:val="006A5D30"/>
    <w:rsid w:val="006A70F6"/>
    <w:rsid w:val="006C0349"/>
    <w:rsid w:val="006D6D93"/>
    <w:rsid w:val="006F4FC7"/>
    <w:rsid w:val="006F6A7F"/>
    <w:rsid w:val="007007CE"/>
    <w:rsid w:val="00746F55"/>
    <w:rsid w:val="007624A0"/>
    <w:rsid w:val="00770670"/>
    <w:rsid w:val="007873E6"/>
    <w:rsid w:val="00790F71"/>
    <w:rsid w:val="0079239D"/>
    <w:rsid w:val="0079570B"/>
    <w:rsid w:val="007E0066"/>
    <w:rsid w:val="007E4DCF"/>
    <w:rsid w:val="00801958"/>
    <w:rsid w:val="00804B25"/>
    <w:rsid w:val="00842489"/>
    <w:rsid w:val="008678B1"/>
    <w:rsid w:val="0087079D"/>
    <w:rsid w:val="0087656F"/>
    <w:rsid w:val="008A5B04"/>
    <w:rsid w:val="008B1CF9"/>
    <w:rsid w:val="008D16C4"/>
    <w:rsid w:val="008D3C44"/>
    <w:rsid w:val="008D73C1"/>
    <w:rsid w:val="008E6B70"/>
    <w:rsid w:val="008F3E29"/>
    <w:rsid w:val="008F400F"/>
    <w:rsid w:val="00910257"/>
    <w:rsid w:val="00935762"/>
    <w:rsid w:val="00940779"/>
    <w:rsid w:val="00954E4A"/>
    <w:rsid w:val="00970D42"/>
    <w:rsid w:val="00976C44"/>
    <w:rsid w:val="009A3EDA"/>
    <w:rsid w:val="009C0433"/>
    <w:rsid w:val="009C2647"/>
    <w:rsid w:val="009E3556"/>
    <w:rsid w:val="009E403C"/>
    <w:rsid w:val="009F5B9B"/>
    <w:rsid w:val="00A034E0"/>
    <w:rsid w:val="00A04D59"/>
    <w:rsid w:val="00A32A2A"/>
    <w:rsid w:val="00A57364"/>
    <w:rsid w:val="00A91EFD"/>
    <w:rsid w:val="00AA34B5"/>
    <w:rsid w:val="00AC6677"/>
    <w:rsid w:val="00AD3216"/>
    <w:rsid w:val="00B025F8"/>
    <w:rsid w:val="00B45A94"/>
    <w:rsid w:val="00B50849"/>
    <w:rsid w:val="00B639EC"/>
    <w:rsid w:val="00B66EE7"/>
    <w:rsid w:val="00B8187F"/>
    <w:rsid w:val="00BB0D4E"/>
    <w:rsid w:val="00BD4489"/>
    <w:rsid w:val="00C0718B"/>
    <w:rsid w:val="00C20CCD"/>
    <w:rsid w:val="00C276DB"/>
    <w:rsid w:val="00C27F76"/>
    <w:rsid w:val="00C672D4"/>
    <w:rsid w:val="00C71DA6"/>
    <w:rsid w:val="00C80230"/>
    <w:rsid w:val="00CD0001"/>
    <w:rsid w:val="00D03C31"/>
    <w:rsid w:val="00D15892"/>
    <w:rsid w:val="00D36D29"/>
    <w:rsid w:val="00D5489B"/>
    <w:rsid w:val="00D85992"/>
    <w:rsid w:val="00D86368"/>
    <w:rsid w:val="00DD16EE"/>
    <w:rsid w:val="00DD7484"/>
    <w:rsid w:val="00DE7ED9"/>
    <w:rsid w:val="00E07ED8"/>
    <w:rsid w:val="00E10438"/>
    <w:rsid w:val="00E41D90"/>
    <w:rsid w:val="00E6377D"/>
    <w:rsid w:val="00EB03CC"/>
    <w:rsid w:val="00EB0AB1"/>
    <w:rsid w:val="00EB230E"/>
    <w:rsid w:val="00EC571D"/>
    <w:rsid w:val="00ED42F4"/>
    <w:rsid w:val="00EE10C4"/>
    <w:rsid w:val="00EE1E98"/>
    <w:rsid w:val="00EF3B0C"/>
    <w:rsid w:val="00F4685B"/>
    <w:rsid w:val="00F47DEE"/>
    <w:rsid w:val="00F76874"/>
    <w:rsid w:val="00F802B7"/>
    <w:rsid w:val="00F85439"/>
    <w:rsid w:val="00F90AB6"/>
    <w:rsid w:val="00F912C3"/>
    <w:rsid w:val="00FC12DB"/>
    <w:rsid w:val="00FD5C47"/>
    <w:rsid w:val="00FE567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07B4"/>
  <w15:docId w15:val="{1FACC6BC-01FE-448F-8C61-49174C4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6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EF08-C69C-4774-A5F9-AE5E7E74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291</Words>
  <Characters>1661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2022-08-10T02:05:00Z</dcterms:created>
  <dcterms:modified xsi:type="dcterms:W3CDTF">2023-04-28T02:07:00Z</dcterms:modified>
</cp:coreProperties>
</file>