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819D" w14:textId="77777777" w:rsidR="0067730E" w:rsidRPr="00277D99" w:rsidRDefault="003F6A9A" w:rsidP="0067730E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14:paraId="65FB4271" w14:textId="77777777" w:rsidR="003F6A9A" w:rsidRDefault="003F6A9A" w:rsidP="0067730E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</w:p>
    <w:p w14:paraId="7330E428" w14:textId="77777777" w:rsidR="0067730E" w:rsidRPr="00277D99" w:rsidRDefault="003F6A9A" w:rsidP="0067730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14:paraId="35ADBD15" w14:textId="77777777" w:rsidR="0067730E" w:rsidRPr="00277D99" w:rsidRDefault="003F6A9A" w:rsidP="0067730E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14:paraId="653B8D7E" w14:textId="77777777" w:rsidR="0067730E" w:rsidRPr="00F336B2" w:rsidRDefault="00322272" w:rsidP="0067730E">
      <w:pPr>
        <w:jc w:val="center"/>
        <w:rPr>
          <w:b/>
          <w:sz w:val="28"/>
          <w:szCs w:val="28"/>
        </w:rPr>
      </w:pPr>
    </w:p>
    <w:p w14:paraId="38B003D3" w14:textId="77777777" w:rsidR="0067730E" w:rsidRPr="00C5514B" w:rsidRDefault="003F6A9A" w:rsidP="0067730E">
      <w:pPr>
        <w:jc w:val="center"/>
        <w:rPr>
          <w:b/>
          <w:sz w:val="28"/>
        </w:rPr>
      </w:pPr>
      <w:r w:rsidRPr="00C5514B">
        <w:rPr>
          <w:b/>
          <w:sz w:val="28"/>
        </w:rPr>
        <w:t>ПРЕСС-ВЫПУСК</w:t>
      </w:r>
    </w:p>
    <w:p w14:paraId="538F8274" w14:textId="77777777" w:rsidR="00F336B2" w:rsidRPr="00F336B2" w:rsidRDefault="00322272" w:rsidP="0067730E">
      <w:pPr>
        <w:jc w:val="center"/>
        <w:rPr>
          <w:sz w:val="28"/>
        </w:rPr>
      </w:pPr>
    </w:p>
    <w:p w14:paraId="438C7CF3" w14:textId="77777777" w:rsidR="0067730E" w:rsidRPr="00F336B2" w:rsidRDefault="003F6A9A" w:rsidP="0067730E">
      <w:pPr>
        <w:pStyle w:val="3"/>
        <w:keepNext w:val="0"/>
        <w:jc w:val="center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6"/>
        </w:rPr>
        <w:t>О д</w:t>
      </w:r>
      <w:r w:rsidRPr="00F336B2">
        <w:rPr>
          <w:rFonts w:ascii="Arial" w:hAnsi="Arial" w:cs="Arial"/>
          <w:b/>
          <w:bCs/>
          <w:sz w:val="28"/>
          <w:szCs w:val="26"/>
        </w:rPr>
        <w:t>емографическ</w:t>
      </w:r>
      <w:r w:rsidR="000D4327">
        <w:rPr>
          <w:rFonts w:ascii="Arial" w:hAnsi="Arial" w:cs="Arial"/>
          <w:b/>
          <w:bCs/>
          <w:sz w:val="28"/>
          <w:szCs w:val="26"/>
        </w:rPr>
        <w:t>о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й </w:t>
      </w:r>
      <w:r>
        <w:rPr>
          <w:rFonts w:ascii="Arial" w:hAnsi="Arial" w:cs="Arial"/>
          <w:b/>
          <w:bCs/>
          <w:sz w:val="28"/>
          <w:szCs w:val="26"/>
        </w:rPr>
        <w:t xml:space="preserve">ситуации </w:t>
      </w:r>
      <w:r>
        <w:rPr>
          <w:rFonts w:ascii="Arial" w:hAnsi="Arial" w:cs="Arial"/>
          <w:b/>
          <w:bCs/>
          <w:sz w:val="28"/>
          <w:szCs w:val="26"/>
        </w:rPr>
        <w:br/>
        <w:t>в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 </w:t>
      </w:r>
      <w:r>
        <w:rPr>
          <w:rFonts w:ascii="Arial" w:hAnsi="Arial" w:cs="Arial"/>
          <w:b/>
          <w:bCs/>
          <w:sz w:val="28"/>
          <w:szCs w:val="26"/>
        </w:rPr>
        <w:t xml:space="preserve">городском округе 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г. </w:t>
      </w:r>
      <w:r>
        <w:rPr>
          <w:rFonts w:ascii="Arial" w:hAnsi="Arial" w:cs="Arial"/>
          <w:b/>
          <w:bCs/>
          <w:sz w:val="28"/>
          <w:szCs w:val="26"/>
        </w:rPr>
        <w:t>Абакане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 </w:t>
      </w:r>
      <w:r>
        <w:rPr>
          <w:rFonts w:ascii="Arial" w:hAnsi="Arial" w:cs="Arial"/>
          <w:b/>
          <w:bCs/>
          <w:sz w:val="28"/>
          <w:szCs w:val="26"/>
        </w:rPr>
        <w:t>в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 201</w:t>
      </w:r>
      <w:r>
        <w:rPr>
          <w:rFonts w:ascii="Arial" w:hAnsi="Arial" w:cs="Arial"/>
          <w:b/>
          <w:bCs/>
          <w:sz w:val="28"/>
          <w:szCs w:val="26"/>
        </w:rPr>
        <w:t>9</w:t>
      </w:r>
      <w:r w:rsidRPr="00F336B2">
        <w:rPr>
          <w:rFonts w:ascii="Arial" w:hAnsi="Arial" w:cs="Arial"/>
          <w:b/>
          <w:bCs/>
          <w:sz w:val="28"/>
          <w:szCs w:val="26"/>
        </w:rPr>
        <w:t xml:space="preserve"> год</w:t>
      </w:r>
      <w:r>
        <w:rPr>
          <w:rFonts w:ascii="Arial" w:hAnsi="Arial" w:cs="Arial"/>
          <w:b/>
          <w:bCs/>
          <w:sz w:val="28"/>
          <w:szCs w:val="26"/>
        </w:rPr>
        <w:t>у</w:t>
      </w:r>
    </w:p>
    <w:p w14:paraId="7FA243D3" w14:textId="77777777" w:rsidR="0067730E" w:rsidRPr="00F336B2" w:rsidRDefault="003F6A9A" w:rsidP="0067730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F336B2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F336B2">
        <w:rPr>
          <w:sz w:val="24"/>
          <w:szCs w:val="24"/>
        </w:rPr>
        <w:t>Красноярскстат</w:t>
      </w:r>
      <w:proofErr w:type="spellEnd"/>
      <w:r w:rsidRPr="00F336B2">
        <w:rPr>
          <w:sz w:val="24"/>
          <w:szCs w:val="24"/>
        </w:rPr>
        <w:t xml:space="preserve"> обязательна)</w:t>
      </w:r>
    </w:p>
    <w:p w14:paraId="0F10F5C8" w14:textId="77777777" w:rsidR="0067730E" w:rsidRPr="00721495" w:rsidRDefault="00322272" w:rsidP="0067730E">
      <w:pPr>
        <w:overflowPunct/>
        <w:autoSpaceDE/>
        <w:autoSpaceDN/>
        <w:adjustRightInd/>
        <w:jc w:val="center"/>
        <w:textAlignment w:val="auto"/>
        <w:rPr>
          <w:sz w:val="25"/>
          <w:szCs w:val="25"/>
        </w:rPr>
      </w:pPr>
    </w:p>
    <w:p w14:paraId="18B1C483" w14:textId="77777777" w:rsidR="0067730E" w:rsidRPr="00A153F7" w:rsidRDefault="003F6A9A" w:rsidP="005444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D4327">
        <w:rPr>
          <w:sz w:val="28"/>
          <w:szCs w:val="28"/>
        </w:rPr>
        <w:t>5</w:t>
      </w:r>
      <w:r>
        <w:rPr>
          <w:sz w:val="28"/>
          <w:szCs w:val="28"/>
        </w:rPr>
        <w:t>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Абакан</w:t>
      </w:r>
    </w:p>
    <w:p w14:paraId="76CC9AAC" w14:textId="77777777" w:rsidR="00B56CDA" w:rsidRPr="008E158D" w:rsidRDefault="00322272" w:rsidP="001E714C">
      <w:pPr>
        <w:widowControl w:val="0"/>
        <w:overflowPunct/>
        <w:autoSpaceDE/>
        <w:autoSpaceDN/>
        <w:adjustRightInd/>
        <w:spacing w:line="276" w:lineRule="auto"/>
        <w:jc w:val="center"/>
        <w:textAlignment w:val="auto"/>
        <w:rPr>
          <w:sz w:val="25"/>
          <w:szCs w:val="25"/>
        </w:rPr>
      </w:pPr>
    </w:p>
    <w:p w14:paraId="2256A475" w14:textId="77777777" w:rsidR="00137731" w:rsidRDefault="003F6A9A" w:rsidP="00610321">
      <w:pPr>
        <w:pStyle w:val="a3"/>
        <w:spacing w:line="340" w:lineRule="exact"/>
        <w:rPr>
          <w:color w:val="000000"/>
          <w:sz w:val="28"/>
          <w:szCs w:val="28"/>
        </w:rPr>
      </w:pPr>
      <w:r w:rsidRPr="004405E4">
        <w:rPr>
          <w:color w:val="000000"/>
          <w:sz w:val="28"/>
          <w:szCs w:val="28"/>
        </w:rPr>
        <w:t xml:space="preserve">Численность населения городского округа г. </w:t>
      </w:r>
      <w:r>
        <w:rPr>
          <w:color w:val="000000"/>
          <w:sz w:val="28"/>
          <w:szCs w:val="28"/>
        </w:rPr>
        <w:t xml:space="preserve">Абакана </w:t>
      </w:r>
      <w:r>
        <w:rPr>
          <w:color w:val="000000"/>
          <w:sz w:val="28"/>
          <w:szCs w:val="28"/>
        </w:rPr>
        <w:br/>
      </w:r>
      <w:r w:rsidRPr="004405E4">
        <w:rPr>
          <w:color w:val="000000"/>
          <w:sz w:val="28"/>
          <w:szCs w:val="28"/>
        </w:rPr>
        <w:t>на 1 января 20</w:t>
      </w:r>
      <w:r>
        <w:rPr>
          <w:color w:val="000000"/>
          <w:sz w:val="28"/>
          <w:szCs w:val="28"/>
        </w:rPr>
        <w:t>20</w:t>
      </w:r>
      <w:r w:rsidRPr="004405E4">
        <w:rPr>
          <w:color w:val="000000"/>
          <w:sz w:val="28"/>
          <w:szCs w:val="28"/>
        </w:rPr>
        <w:t xml:space="preserve"> года</w:t>
      </w:r>
      <w:r w:rsidRPr="00341F2B">
        <w:rPr>
          <w:color w:val="000000"/>
          <w:sz w:val="28"/>
          <w:szCs w:val="28"/>
        </w:rPr>
        <w:t xml:space="preserve"> составила </w:t>
      </w:r>
      <w:r>
        <w:rPr>
          <w:color w:val="000000"/>
          <w:sz w:val="28"/>
          <w:szCs w:val="28"/>
        </w:rPr>
        <w:t>186797</w:t>
      </w:r>
      <w:r w:rsidRPr="00341F2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и по сравнению </w:t>
      </w:r>
      <w:r>
        <w:rPr>
          <w:color w:val="000000"/>
          <w:sz w:val="28"/>
          <w:szCs w:val="28"/>
        </w:rPr>
        <w:br/>
        <w:t xml:space="preserve">с 1 января 2019 года увеличилась </w:t>
      </w:r>
      <w:r w:rsidRPr="00341F2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596</w:t>
      </w:r>
      <w:r w:rsidRPr="00341F2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 или на 0,3</w:t>
      </w:r>
      <w:r w:rsidRPr="00341F2B">
        <w:rPr>
          <w:color w:val="000000"/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(в 2018 году – на 2033 человека, или на 1,1 процента)</w:t>
      </w:r>
      <w:r w:rsidRPr="00341F2B">
        <w:rPr>
          <w:color w:val="000000"/>
          <w:sz w:val="28"/>
          <w:szCs w:val="28"/>
        </w:rPr>
        <w:t xml:space="preserve">. </w:t>
      </w:r>
    </w:p>
    <w:p w14:paraId="70EFEC99" w14:textId="77777777" w:rsidR="004405E4" w:rsidRDefault="003F6A9A" w:rsidP="00610321">
      <w:pPr>
        <w:pStyle w:val="a3"/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Естественный прирост населения в 2019 году составил 222</w:t>
      </w:r>
      <w:r w:rsidRPr="00341F2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(в 2018 году – 320 человек), </w:t>
      </w:r>
      <w:r w:rsidRPr="004B2D3C">
        <w:rPr>
          <w:sz w:val="28"/>
          <w:szCs w:val="28"/>
        </w:rPr>
        <w:t xml:space="preserve">миграционный прирост – 374 человека </w:t>
      </w:r>
      <w:r w:rsidRPr="004B2D3C">
        <w:rPr>
          <w:sz w:val="28"/>
          <w:szCs w:val="28"/>
        </w:rPr>
        <w:br/>
        <w:t>(в 2018 году – 1713 человек).</w:t>
      </w:r>
    </w:p>
    <w:p w14:paraId="3F54B074" w14:textId="77777777" w:rsidR="004405E4" w:rsidRPr="00740498" w:rsidRDefault="003F6A9A" w:rsidP="00610321">
      <w:pPr>
        <w:pStyle w:val="a3"/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В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</w:t>
      </w:r>
      <w:r w:rsidRPr="00341F2B">
        <w:rPr>
          <w:sz w:val="28"/>
          <w:szCs w:val="28"/>
        </w:rPr>
        <w:t xml:space="preserve"> центре </w:t>
      </w:r>
      <w:r>
        <w:rPr>
          <w:sz w:val="28"/>
          <w:szCs w:val="28"/>
        </w:rPr>
        <w:t>родилось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>2138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(в том числе </w:t>
      </w:r>
      <w:r>
        <w:rPr>
          <w:sz w:val="28"/>
          <w:szCs w:val="28"/>
        </w:rPr>
        <w:br/>
        <w:t>1089 мальчиков и 1049 девочек), что на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>малышей</w:t>
      </w:r>
      <w:r w:rsidRPr="00341F2B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341F2B">
        <w:rPr>
          <w:sz w:val="28"/>
          <w:szCs w:val="28"/>
        </w:rPr>
        <w:t xml:space="preserve">, </w:t>
      </w:r>
      <w:r>
        <w:rPr>
          <w:sz w:val="28"/>
          <w:szCs w:val="28"/>
        </w:rPr>
        <w:t>чем в 2018</w:t>
      </w:r>
      <w:r w:rsidRPr="00341F2B">
        <w:rPr>
          <w:sz w:val="28"/>
          <w:szCs w:val="28"/>
        </w:rPr>
        <w:t xml:space="preserve"> </w:t>
      </w:r>
      <w:r w:rsidRPr="007F76B7">
        <w:rPr>
          <w:sz w:val="28"/>
          <w:szCs w:val="28"/>
        </w:rPr>
        <w:t xml:space="preserve">году. </w:t>
      </w:r>
      <w:r w:rsidRPr="002F13BE">
        <w:rPr>
          <w:sz w:val="28"/>
          <w:szCs w:val="28"/>
        </w:rPr>
        <w:t xml:space="preserve">В 2019 году в общем числе рождений доля детей, родившихся первыми, составила </w:t>
      </w:r>
      <w:r w:rsidRPr="00754F91">
        <w:rPr>
          <w:sz w:val="28"/>
          <w:szCs w:val="28"/>
        </w:rPr>
        <w:t>3</w:t>
      </w:r>
      <w:r>
        <w:rPr>
          <w:sz w:val="28"/>
          <w:szCs w:val="28"/>
        </w:rPr>
        <w:t>7,</w:t>
      </w:r>
      <w:r w:rsidRPr="00754F9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13BE">
        <w:rPr>
          <w:sz w:val="28"/>
          <w:szCs w:val="28"/>
        </w:rPr>
        <w:t xml:space="preserve">процента, вторыми – </w:t>
      </w:r>
      <w:r>
        <w:rPr>
          <w:sz w:val="28"/>
          <w:szCs w:val="28"/>
        </w:rPr>
        <w:t>40</w:t>
      </w:r>
      <w:r w:rsidRPr="002F13B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F13BE">
        <w:rPr>
          <w:sz w:val="28"/>
          <w:szCs w:val="28"/>
        </w:rPr>
        <w:t xml:space="preserve"> процента, третьими и последующими – </w:t>
      </w:r>
      <w:r>
        <w:rPr>
          <w:sz w:val="28"/>
          <w:szCs w:val="28"/>
        </w:rPr>
        <w:t>21,2</w:t>
      </w:r>
      <w:r w:rsidRPr="002F13BE">
        <w:rPr>
          <w:sz w:val="28"/>
          <w:szCs w:val="28"/>
        </w:rPr>
        <w:t xml:space="preserve"> процента (в 2018 году – </w:t>
      </w:r>
      <w:r>
        <w:rPr>
          <w:sz w:val="28"/>
          <w:szCs w:val="28"/>
        </w:rPr>
        <w:t>38</w:t>
      </w:r>
      <w:r w:rsidRPr="002F13B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2F13BE">
        <w:rPr>
          <w:sz w:val="28"/>
          <w:szCs w:val="28"/>
        </w:rPr>
        <w:t>, 4</w:t>
      </w:r>
      <w:r>
        <w:rPr>
          <w:sz w:val="28"/>
          <w:szCs w:val="28"/>
        </w:rPr>
        <w:t>2</w:t>
      </w:r>
      <w:r w:rsidRPr="002F13B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F13BE">
        <w:rPr>
          <w:sz w:val="28"/>
          <w:szCs w:val="28"/>
        </w:rPr>
        <w:t xml:space="preserve"> процента и 1</w:t>
      </w:r>
      <w:r>
        <w:rPr>
          <w:sz w:val="28"/>
          <w:szCs w:val="28"/>
        </w:rPr>
        <w:t>9</w:t>
      </w:r>
      <w:r w:rsidRPr="002F13BE">
        <w:rPr>
          <w:sz w:val="28"/>
          <w:szCs w:val="28"/>
        </w:rPr>
        <w:t>,6 процент</w:t>
      </w:r>
      <w:r>
        <w:rPr>
          <w:sz w:val="28"/>
          <w:szCs w:val="28"/>
        </w:rPr>
        <w:t>а</w:t>
      </w:r>
      <w:r w:rsidRPr="002F13BE">
        <w:rPr>
          <w:sz w:val="28"/>
          <w:szCs w:val="28"/>
        </w:rPr>
        <w:t xml:space="preserve"> соответственно).</w:t>
      </w:r>
      <w:r>
        <w:rPr>
          <w:sz w:val="28"/>
          <w:szCs w:val="28"/>
        </w:rPr>
        <w:t xml:space="preserve"> </w:t>
      </w:r>
    </w:p>
    <w:p w14:paraId="2F022A2F" w14:textId="77777777" w:rsidR="004405E4" w:rsidRDefault="003F6A9A" w:rsidP="00610321">
      <w:pPr>
        <w:pStyle w:val="a3"/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В 2019 году в городском округе г. </w:t>
      </w:r>
      <w:r w:rsidRPr="00665E97">
        <w:rPr>
          <w:sz w:val="28"/>
          <w:szCs w:val="28"/>
        </w:rPr>
        <w:t>Абакане</w:t>
      </w:r>
      <w:r w:rsidRPr="00BE7A44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>
        <w:rPr>
          <w:sz w:val="28"/>
          <w:szCs w:val="28"/>
        </w:rPr>
        <w:br/>
        <w:t>1916</w:t>
      </w:r>
      <w:r w:rsidRPr="00BE7A4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 смерти (в 2018 году – 1946  случаев)</w:t>
      </w:r>
      <w:r w:rsidRPr="00BE7A44">
        <w:rPr>
          <w:sz w:val="28"/>
          <w:szCs w:val="28"/>
        </w:rPr>
        <w:t xml:space="preserve">. </w:t>
      </w:r>
      <w:r w:rsidRPr="00005E94">
        <w:rPr>
          <w:sz w:val="28"/>
          <w:szCs w:val="28"/>
        </w:rPr>
        <w:t xml:space="preserve">Основными причинами смерти населения </w:t>
      </w:r>
      <w:r>
        <w:rPr>
          <w:sz w:val="28"/>
          <w:szCs w:val="28"/>
        </w:rPr>
        <w:t>остаются</w:t>
      </w:r>
      <w:r w:rsidRPr="00005E94">
        <w:rPr>
          <w:sz w:val="28"/>
          <w:szCs w:val="28"/>
        </w:rPr>
        <w:t xml:space="preserve"> болезни системы кровообращения (</w:t>
      </w:r>
      <w:r>
        <w:rPr>
          <w:sz w:val="28"/>
          <w:szCs w:val="28"/>
        </w:rPr>
        <w:t>50,1</w:t>
      </w:r>
      <w:r w:rsidRPr="00005E94">
        <w:rPr>
          <w:sz w:val="28"/>
          <w:szCs w:val="28"/>
        </w:rPr>
        <w:t xml:space="preserve"> процента от общей численности умерших), новообразования (</w:t>
      </w:r>
      <w:r>
        <w:rPr>
          <w:sz w:val="28"/>
          <w:szCs w:val="28"/>
        </w:rPr>
        <w:t>18,9 процента</w:t>
      </w:r>
      <w:r w:rsidRPr="008E158D">
        <w:rPr>
          <w:sz w:val="28"/>
          <w:szCs w:val="28"/>
        </w:rPr>
        <w:t xml:space="preserve">) </w:t>
      </w:r>
      <w:r w:rsidRPr="00E16F14">
        <w:rPr>
          <w:sz w:val="28"/>
          <w:szCs w:val="28"/>
        </w:rPr>
        <w:t>и внешние причины (8 процент</w:t>
      </w:r>
      <w:r>
        <w:rPr>
          <w:sz w:val="28"/>
          <w:szCs w:val="28"/>
        </w:rPr>
        <w:t>ов</w:t>
      </w:r>
      <w:r w:rsidRPr="00E16F14">
        <w:rPr>
          <w:sz w:val="28"/>
          <w:szCs w:val="28"/>
        </w:rPr>
        <w:t>).</w:t>
      </w:r>
    </w:p>
    <w:p w14:paraId="011910F7" w14:textId="77777777" w:rsidR="002E652D" w:rsidRDefault="003F6A9A" w:rsidP="00610321">
      <w:pPr>
        <w:pStyle w:val="a3"/>
        <w:tabs>
          <w:tab w:val="left" w:pos="7230"/>
        </w:tabs>
        <w:spacing w:line="3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играционный прирост населения (374</w:t>
      </w:r>
      <w:r w:rsidRPr="005063C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а) сложился за счет превышения числа убывших над прибывшими в республиканский центр</w:t>
      </w:r>
      <w:r>
        <w:rPr>
          <w:sz w:val="28"/>
          <w:szCs w:val="28"/>
        </w:rPr>
        <w:br/>
        <w:t>во внутрироссийской миграции и миграционном обмене населением</w:t>
      </w:r>
      <w:r>
        <w:rPr>
          <w:sz w:val="28"/>
          <w:szCs w:val="28"/>
        </w:rPr>
        <w:br/>
        <w:t>со странами вне СНГ:</w:t>
      </w:r>
    </w:p>
    <w:p w14:paraId="39AC7693" w14:textId="77777777" w:rsidR="00D557EA" w:rsidRPr="00D0749D" w:rsidRDefault="00322272" w:rsidP="00D557EA">
      <w:pPr>
        <w:pStyle w:val="a3"/>
        <w:tabs>
          <w:tab w:val="left" w:pos="7230"/>
        </w:tabs>
        <w:rPr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36"/>
        <w:gridCol w:w="1506"/>
        <w:gridCol w:w="1178"/>
        <w:gridCol w:w="1081"/>
        <w:gridCol w:w="1102"/>
        <w:gridCol w:w="1276"/>
        <w:gridCol w:w="1275"/>
      </w:tblGrid>
      <w:tr w:rsidR="00A260A9" w14:paraId="424F8952" w14:textId="77777777" w:rsidTr="00C37B00">
        <w:trPr>
          <w:trHeight w:val="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AAA4" w14:textId="77777777" w:rsidR="00407908" w:rsidRPr="00407908" w:rsidRDefault="003F6A9A" w:rsidP="00C37B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07908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0E39" w14:textId="77777777" w:rsidR="00407908" w:rsidRPr="00407908" w:rsidRDefault="003F6A9A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Миграция –всего, человек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6686D5" w14:textId="77777777" w:rsidR="00407908" w:rsidRPr="00407908" w:rsidRDefault="003F6A9A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260A9" w14:paraId="3903A14A" w14:textId="77777777" w:rsidTr="00CE2418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6DE" w14:textId="77777777" w:rsidR="00CE2418" w:rsidRPr="00407908" w:rsidRDefault="00322272" w:rsidP="00C37B0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6197" w14:textId="77777777" w:rsidR="00CE2418" w:rsidRPr="00407908" w:rsidRDefault="00322272" w:rsidP="00C37B00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A784" w14:textId="77777777" w:rsidR="00CE2418" w:rsidRPr="00407908" w:rsidRDefault="003F6A9A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России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23A9" w14:textId="77777777" w:rsidR="00CE2418" w:rsidRPr="00407908" w:rsidRDefault="003F6A9A" w:rsidP="00190C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07908">
              <w:rPr>
                <w:sz w:val="24"/>
                <w:szCs w:val="24"/>
              </w:rPr>
              <w:t>между-народная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95C06C" w14:textId="77777777" w:rsidR="00CE2418" w:rsidRPr="00407908" w:rsidRDefault="003F6A9A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260A9" w14:paraId="26FE9ABA" w14:textId="77777777" w:rsidTr="00CE2418">
        <w:trPr>
          <w:trHeight w:val="67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543F" w14:textId="77777777" w:rsidR="00CE2418" w:rsidRPr="00407908" w:rsidRDefault="00322272" w:rsidP="00C37B0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CFDA" w14:textId="77777777" w:rsidR="00CE2418" w:rsidRPr="00407908" w:rsidRDefault="00322272" w:rsidP="00C37B00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A54E" w14:textId="77777777" w:rsidR="00CE2418" w:rsidRPr="00407908" w:rsidRDefault="003F6A9A" w:rsidP="00CE2418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407908">
              <w:rPr>
                <w:sz w:val="24"/>
                <w:szCs w:val="24"/>
              </w:rPr>
              <w:t>внутри-</w:t>
            </w:r>
            <w:proofErr w:type="spellStart"/>
            <w:r>
              <w:rPr>
                <w:sz w:val="24"/>
                <w:szCs w:val="24"/>
              </w:rPr>
              <w:t>регио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нальная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6345" w14:textId="77777777" w:rsidR="00CE2418" w:rsidRPr="00407908" w:rsidRDefault="003F6A9A" w:rsidP="00190C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07908">
              <w:rPr>
                <w:sz w:val="24"/>
                <w:szCs w:val="24"/>
              </w:rPr>
              <w:t>еж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07908">
              <w:rPr>
                <w:sz w:val="24"/>
                <w:szCs w:val="24"/>
              </w:rPr>
              <w:t>регио</w:t>
            </w:r>
            <w:proofErr w:type="spellEnd"/>
            <w:r w:rsidRPr="00407908">
              <w:rPr>
                <w:sz w:val="24"/>
                <w:szCs w:val="24"/>
              </w:rPr>
              <w:t>-</w:t>
            </w:r>
            <w:proofErr w:type="spellStart"/>
            <w:r w:rsidRPr="00407908">
              <w:rPr>
                <w:sz w:val="24"/>
                <w:szCs w:val="24"/>
              </w:rPr>
              <w:t>нальная</w:t>
            </w:r>
            <w:proofErr w:type="spellEnd"/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44846" w14:textId="77777777" w:rsidR="00CE2418" w:rsidRPr="00407908" w:rsidRDefault="00322272" w:rsidP="00190C65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8916" w14:textId="77777777" w:rsidR="00CE2418" w:rsidRPr="00407908" w:rsidRDefault="003F6A9A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407908">
              <w:rPr>
                <w:sz w:val="24"/>
                <w:szCs w:val="24"/>
              </w:rPr>
              <w:t>со странами СНГ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DACD" w14:textId="77777777" w:rsidR="00CE2418" w:rsidRPr="00407908" w:rsidRDefault="003F6A9A" w:rsidP="00C37B00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407908">
              <w:rPr>
                <w:sz w:val="24"/>
                <w:szCs w:val="24"/>
              </w:rPr>
              <w:t>со странами вне СНГ</w:t>
            </w:r>
          </w:p>
        </w:tc>
      </w:tr>
      <w:tr w:rsidR="00A260A9" w14:paraId="0EF26050" w14:textId="77777777" w:rsidTr="00CE2418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82AA83" w14:textId="77777777" w:rsidR="004E0C5F" w:rsidRPr="00407908" w:rsidRDefault="003F6A9A" w:rsidP="00C37B00">
            <w:pPr>
              <w:overflowPunct/>
              <w:autoSpaceDE/>
              <w:autoSpaceDN/>
              <w:adjustRightInd/>
              <w:spacing w:line="320" w:lineRule="exact"/>
              <w:textAlignment w:val="auto"/>
              <w:rPr>
                <w:b/>
                <w:sz w:val="24"/>
                <w:szCs w:val="24"/>
              </w:rPr>
            </w:pPr>
            <w:r w:rsidRPr="00403230">
              <w:rPr>
                <w:b/>
                <w:sz w:val="24"/>
                <w:szCs w:val="24"/>
              </w:rPr>
              <w:t>Миграционный прирост</w:t>
            </w:r>
            <w:r>
              <w:rPr>
                <w:b/>
                <w:sz w:val="24"/>
                <w:szCs w:val="24"/>
              </w:rPr>
              <w:t>, убыль (-)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FD42E5D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A03B0A2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A9BDA4B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81245DD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00F0839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63D9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-38</w:t>
            </w:r>
          </w:p>
        </w:tc>
      </w:tr>
      <w:tr w:rsidR="00A260A9" w14:paraId="3EBFC12E" w14:textId="77777777" w:rsidTr="00CE2418">
        <w:trPr>
          <w:trHeight w:val="20"/>
        </w:trPr>
        <w:tc>
          <w:tcPr>
            <w:tcW w:w="2263" w:type="dxa"/>
            <w:tcBorders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65A6DF" w14:textId="77777777" w:rsidR="004E0C5F" w:rsidRDefault="003F6A9A" w:rsidP="00C37B00">
            <w:pPr>
              <w:overflowPunct/>
              <w:autoSpaceDE/>
              <w:autoSpaceDN/>
              <w:adjustRightInd/>
              <w:spacing w:line="320" w:lineRule="exact"/>
              <w:ind w:left="113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Прибыло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DBF6943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8113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3362EA4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</w:t>
            </w:r>
          </w:p>
        </w:tc>
        <w:tc>
          <w:tcPr>
            <w:tcW w:w="1081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0A83ACC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</w:t>
            </w:r>
          </w:p>
        </w:tc>
        <w:tc>
          <w:tcPr>
            <w:tcW w:w="1045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0E46932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5A468C6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443F4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260A9" w14:paraId="7732A396" w14:textId="77777777" w:rsidTr="00CE2418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62DDDF" w14:textId="77777777" w:rsidR="004E0C5F" w:rsidRDefault="003F6A9A" w:rsidP="00C37B00">
            <w:pPr>
              <w:overflowPunct/>
              <w:autoSpaceDE/>
              <w:autoSpaceDN/>
              <w:adjustRightInd/>
              <w:spacing w:line="320" w:lineRule="exact"/>
              <w:ind w:left="113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Выбыло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E69DE3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43DA32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1663A3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F95C40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54DCA4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4DCD" w14:textId="77777777" w:rsidR="004E0C5F" w:rsidRPr="00407908" w:rsidRDefault="003F6A9A" w:rsidP="00E60036">
            <w:pPr>
              <w:overflowPunct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14:paraId="6CBAA3E8" w14:textId="77777777" w:rsidR="00132EE5" w:rsidRPr="00714BEB" w:rsidRDefault="003F6A9A" w:rsidP="00132EE5">
      <w:pPr>
        <w:pStyle w:val="a3"/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Основными мотивами смены места жительства</w:t>
      </w:r>
      <w:r w:rsidRPr="00D475FD">
        <w:rPr>
          <w:sz w:val="28"/>
          <w:szCs w:val="28"/>
          <w:vertAlign w:val="superscript"/>
        </w:rPr>
        <w:t>1)</w:t>
      </w:r>
      <w:r>
        <w:rPr>
          <w:sz w:val="28"/>
          <w:szCs w:val="28"/>
        </w:rPr>
        <w:t xml:space="preserve"> прибывших </w:t>
      </w:r>
      <w:proofErr w:type="spellStart"/>
      <w:r>
        <w:rPr>
          <w:sz w:val="28"/>
          <w:szCs w:val="28"/>
        </w:rPr>
        <w:t>внутрирегиональных</w:t>
      </w:r>
      <w:proofErr w:type="spellEnd"/>
      <w:r>
        <w:rPr>
          <w:sz w:val="28"/>
          <w:szCs w:val="28"/>
        </w:rPr>
        <w:t xml:space="preserve"> и межрегиональных мигрантов являлись причины личного, семейного характера и получение образования (на них указали</w:t>
      </w:r>
      <w:r>
        <w:rPr>
          <w:sz w:val="28"/>
          <w:szCs w:val="28"/>
        </w:rPr>
        <w:br/>
        <w:t xml:space="preserve">57,2 процента прибывших в республиканский центр внутрироссийских мигрантов), международных мигрантов – </w:t>
      </w:r>
      <w:r w:rsidRPr="00714BEB">
        <w:rPr>
          <w:sz w:val="28"/>
          <w:szCs w:val="28"/>
        </w:rPr>
        <w:t>причины личного, семейного характера (5</w:t>
      </w:r>
      <w:r>
        <w:rPr>
          <w:sz w:val="28"/>
          <w:szCs w:val="28"/>
        </w:rPr>
        <w:t>3</w:t>
      </w:r>
      <w:r w:rsidRPr="00714BE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4BEB">
        <w:rPr>
          <w:sz w:val="28"/>
          <w:szCs w:val="28"/>
        </w:rPr>
        <w:t xml:space="preserve"> процента) и причины, связанные с работой (3</w:t>
      </w:r>
      <w:r>
        <w:rPr>
          <w:sz w:val="28"/>
          <w:szCs w:val="28"/>
        </w:rPr>
        <w:t>4</w:t>
      </w:r>
      <w:r w:rsidRPr="00714BE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14BEB">
        <w:rPr>
          <w:sz w:val="28"/>
          <w:szCs w:val="28"/>
        </w:rPr>
        <w:t xml:space="preserve"> процента прибывших из других стран).</w:t>
      </w:r>
    </w:p>
    <w:p w14:paraId="4F2EE335" w14:textId="77777777" w:rsidR="00C54DD2" w:rsidRDefault="003F6A9A" w:rsidP="00132EE5">
      <w:pPr>
        <w:pStyle w:val="a3"/>
        <w:spacing w:line="3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выбывших из </w:t>
      </w:r>
      <w:r w:rsidRPr="00714BEB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центра мигрантов по всем направлениям основной причиной смены места жительства стало возвращение после времен</w:t>
      </w:r>
      <w:r w:rsidRPr="00C9389B">
        <w:rPr>
          <w:sz w:val="28"/>
          <w:szCs w:val="28"/>
        </w:rPr>
        <w:t xml:space="preserve">ного </w:t>
      </w:r>
      <w:r>
        <w:rPr>
          <w:sz w:val="28"/>
          <w:szCs w:val="28"/>
        </w:rPr>
        <w:t>о</w:t>
      </w:r>
      <w:r w:rsidRPr="00C9389B">
        <w:rPr>
          <w:sz w:val="28"/>
          <w:szCs w:val="28"/>
        </w:rPr>
        <w:t>тсутствия</w:t>
      </w:r>
      <w:r>
        <w:rPr>
          <w:sz w:val="28"/>
          <w:szCs w:val="28"/>
        </w:rPr>
        <w:t xml:space="preserve"> (на неё указали 96,9 процентов международных мигрантов и 49,4 процента внутрироссийских мигрантов). Весомой причиной для внутрироссийских передвижений также стали причины личного, семейного характера (21,7 процента).</w:t>
      </w:r>
    </w:p>
    <w:p w14:paraId="54CF3FB2" w14:textId="77777777" w:rsidR="00C54DD2" w:rsidRDefault="00322272" w:rsidP="00164315">
      <w:pPr>
        <w:pStyle w:val="a3"/>
        <w:spacing w:line="360" w:lineRule="exact"/>
        <w:ind w:firstLine="708"/>
        <w:rPr>
          <w:sz w:val="28"/>
          <w:szCs w:val="28"/>
        </w:rPr>
      </w:pPr>
    </w:p>
    <w:p w14:paraId="2DCB6888" w14:textId="77777777" w:rsidR="001B7B59" w:rsidRDefault="003F6A9A" w:rsidP="00E15102">
      <w:pPr>
        <w:pStyle w:val="a3"/>
        <w:ind w:firstLine="284"/>
        <w:rPr>
          <w:sz w:val="20"/>
        </w:rPr>
      </w:pPr>
      <w:r w:rsidRPr="001B7B59">
        <w:rPr>
          <w:sz w:val="20"/>
          <w:vertAlign w:val="superscript"/>
        </w:rPr>
        <w:t>1)</w:t>
      </w:r>
      <w:r w:rsidRPr="001B7B59">
        <w:rPr>
          <w:sz w:val="20"/>
        </w:rPr>
        <w:t xml:space="preserve"> Информация </w:t>
      </w:r>
      <w:r>
        <w:rPr>
          <w:sz w:val="20"/>
        </w:rPr>
        <w:t xml:space="preserve">по обстоятельствам, вызвавшим необходимость смены места жительства, </w:t>
      </w:r>
      <w:r w:rsidRPr="001B7B59">
        <w:rPr>
          <w:sz w:val="20"/>
        </w:rPr>
        <w:t xml:space="preserve">приведена </w:t>
      </w:r>
      <w:r>
        <w:rPr>
          <w:sz w:val="20"/>
        </w:rPr>
        <w:br/>
      </w:r>
      <w:r w:rsidRPr="001B7B59">
        <w:rPr>
          <w:sz w:val="20"/>
        </w:rPr>
        <w:t>для мигрантов</w:t>
      </w:r>
      <w:r>
        <w:rPr>
          <w:sz w:val="20"/>
        </w:rPr>
        <w:t xml:space="preserve"> </w:t>
      </w:r>
      <w:r w:rsidRPr="001B7B59">
        <w:rPr>
          <w:sz w:val="20"/>
        </w:rPr>
        <w:t>в возрасте 14 лет и старше.</w:t>
      </w:r>
    </w:p>
    <w:p w14:paraId="6F75ED37" w14:textId="77777777" w:rsidR="00E34FBB" w:rsidRDefault="00322272" w:rsidP="00E34FBB">
      <w:pPr>
        <w:pStyle w:val="a3"/>
        <w:spacing w:line="360" w:lineRule="exact"/>
        <w:ind w:firstLine="708"/>
        <w:rPr>
          <w:sz w:val="28"/>
          <w:szCs w:val="28"/>
        </w:rPr>
      </w:pPr>
    </w:p>
    <w:sectPr w:rsidR="00E34FBB" w:rsidSect="00610321">
      <w:pgSz w:w="11907" w:h="16840" w:code="9"/>
      <w:pgMar w:top="851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1445"/>
    <w:multiLevelType w:val="hybridMultilevel"/>
    <w:tmpl w:val="0A1627A8"/>
    <w:lvl w:ilvl="0" w:tplc="4F2A8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C924C62" w:tentative="1">
      <w:start w:val="1"/>
      <w:numFmt w:val="lowerLetter"/>
      <w:lvlText w:val="%2."/>
      <w:lvlJc w:val="left"/>
      <w:pPr>
        <w:ind w:left="1789" w:hanging="360"/>
      </w:pPr>
    </w:lvl>
    <w:lvl w:ilvl="2" w:tplc="C63EC42C" w:tentative="1">
      <w:start w:val="1"/>
      <w:numFmt w:val="lowerRoman"/>
      <w:lvlText w:val="%3."/>
      <w:lvlJc w:val="right"/>
      <w:pPr>
        <w:ind w:left="2509" w:hanging="180"/>
      </w:pPr>
    </w:lvl>
    <w:lvl w:ilvl="3" w:tplc="6464DCF0" w:tentative="1">
      <w:start w:val="1"/>
      <w:numFmt w:val="decimal"/>
      <w:lvlText w:val="%4."/>
      <w:lvlJc w:val="left"/>
      <w:pPr>
        <w:ind w:left="3229" w:hanging="360"/>
      </w:pPr>
    </w:lvl>
    <w:lvl w:ilvl="4" w:tplc="638697D4" w:tentative="1">
      <w:start w:val="1"/>
      <w:numFmt w:val="lowerLetter"/>
      <w:lvlText w:val="%5."/>
      <w:lvlJc w:val="left"/>
      <w:pPr>
        <w:ind w:left="3949" w:hanging="360"/>
      </w:pPr>
    </w:lvl>
    <w:lvl w:ilvl="5" w:tplc="4AB8DB12" w:tentative="1">
      <w:start w:val="1"/>
      <w:numFmt w:val="lowerRoman"/>
      <w:lvlText w:val="%6."/>
      <w:lvlJc w:val="right"/>
      <w:pPr>
        <w:ind w:left="4669" w:hanging="180"/>
      </w:pPr>
    </w:lvl>
    <w:lvl w:ilvl="6" w:tplc="E4F65C42" w:tentative="1">
      <w:start w:val="1"/>
      <w:numFmt w:val="decimal"/>
      <w:lvlText w:val="%7."/>
      <w:lvlJc w:val="left"/>
      <w:pPr>
        <w:ind w:left="5389" w:hanging="360"/>
      </w:pPr>
    </w:lvl>
    <w:lvl w:ilvl="7" w:tplc="E6A280DE" w:tentative="1">
      <w:start w:val="1"/>
      <w:numFmt w:val="lowerLetter"/>
      <w:lvlText w:val="%8."/>
      <w:lvlJc w:val="left"/>
      <w:pPr>
        <w:ind w:left="6109" w:hanging="360"/>
      </w:pPr>
    </w:lvl>
    <w:lvl w:ilvl="8" w:tplc="3E94249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A9"/>
    <w:rsid w:val="000D4327"/>
    <w:rsid w:val="00322272"/>
    <w:rsid w:val="003F6A9A"/>
    <w:rsid w:val="00A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6007B"/>
  <w15:docId w15:val="{067D680D-BF7B-493A-BDBB-8DB3F10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0A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260A9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A260A9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A260A9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A260A9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A260A9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link w:val="60"/>
    <w:qFormat/>
    <w:rsid w:val="00A260A9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A260A9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A260A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0A9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Обычный_0"/>
    <w:rsid w:val="00A260A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fd">
    <w:name w:val="Обычfd"/>
    <w:rsid w:val="00A260A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A260A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A260A9"/>
    <w:pPr>
      <w:ind w:firstLine="709"/>
      <w:jc w:val="both"/>
    </w:pPr>
    <w:rPr>
      <w:sz w:val="24"/>
    </w:rPr>
  </w:style>
  <w:style w:type="character" w:styleId="a5">
    <w:name w:val="Hyperlink"/>
    <w:rsid w:val="00A260A9"/>
    <w:rPr>
      <w:color w:val="0000FF"/>
      <w:u w:val="single"/>
    </w:rPr>
  </w:style>
  <w:style w:type="paragraph" w:styleId="a6">
    <w:name w:val="footer"/>
    <w:basedOn w:val="a"/>
    <w:rsid w:val="00A260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A260A9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A260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A260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A260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260A9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A260A9"/>
    <w:pPr>
      <w:spacing w:line="200" w:lineRule="exact"/>
      <w:jc w:val="center"/>
    </w:pPr>
    <w:rPr>
      <w:sz w:val="16"/>
    </w:rPr>
  </w:style>
  <w:style w:type="character" w:styleId="ab">
    <w:name w:val="FollowedHyperlink"/>
    <w:rsid w:val="00A260A9"/>
    <w:rPr>
      <w:color w:val="800080"/>
      <w:u w:val="single"/>
    </w:rPr>
  </w:style>
  <w:style w:type="paragraph" w:styleId="ac">
    <w:name w:val="caption"/>
    <w:basedOn w:val="a"/>
    <w:next w:val="a"/>
    <w:qFormat/>
    <w:rsid w:val="00A260A9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A260A9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character" w:customStyle="1" w:styleId="60">
    <w:name w:val="Заголовок 6 Знак"/>
    <w:link w:val="6"/>
    <w:rsid w:val="001C18FE"/>
    <w:rPr>
      <w:sz w:val="24"/>
      <w:vertAlign w:val="superscript"/>
    </w:rPr>
  </w:style>
  <w:style w:type="character" w:styleId="af8">
    <w:name w:val="annotation reference"/>
    <w:rsid w:val="0072551E"/>
    <w:rPr>
      <w:sz w:val="16"/>
      <w:szCs w:val="16"/>
    </w:rPr>
  </w:style>
  <w:style w:type="paragraph" w:styleId="af9">
    <w:name w:val="annotation text"/>
    <w:basedOn w:val="a"/>
    <w:link w:val="afa"/>
    <w:rsid w:val="0072551E"/>
  </w:style>
  <w:style w:type="character" w:customStyle="1" w:styleId="afa">
    <w:name w:val="Текст примечания Знак"/>
    <w:basedOn w:val="a0"/>
    <w:link w:val="af9"/>
    <w:rsid w:val="0072551E"/>
  </w:style>
  <w:style w:type="paragraph" w:styleId="afb">
    <w:name w:val="annotation subject"/>
    <w:basedOn w:val="af9"/>
    <w:next w:val="af9"/>
    <w:link w:val="afc"/>
    <w:rsid w:val="0072551E"/>
    <w:rPr>
      <w:b/>
      <w:bCs/>
    </w:rPr>
  </w:style>
  <w:style w:type="character" w:customStyle="1" w:styleId="afc">
    <w:name w:val="Тема примечания Знак"/>
    <w:link w:val="afb"/>
    <w:rsid w:val="00725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F013E-2658-4DDB-A055-7435A616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Власть Инфо</cp:lastModifiedBy>
  <cp:revision>2</cp:revision>
  <cp:lastPrinted>2020-07-09T04:15:00Z</cp:lastPrinted>
  <dcterms:created xsi:type="dcterms:W3CDTF">2020-07-15T08:57:00Z</dcterms:created>
  <dcterms:modified xsi:type="dcterms:W3CDTF">2020-07-15T08:57:00Z</dcterms:modified>
</cp:coreProperties>
</file>